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102D5" w14:textId="644E2865" w:rsidR="00A0310E" w:rsidRPr="00A0310E" w:rsidRDefault="00D63A6E" w:rsidP="00A0310E">
      <w:pPr>
        <w:rPr>
          <w:b/>
          <w:bCs/>
          <w:sz w:val="24"/>
          <w:szCs w:val="24"/>
        </w:rPr>
      </w:pPr>
      <w:r w:rsidRPr="00D63A6E">
        <w:rPr>
          <w:b/>
          <w:bCs/>
          <w:sz w:val="28"/>
          <w:szCs w:val="28"/>
        </w:rPr>
        <w:t>Vergütungsvereinbarung</w:t>
      </w:r>
      <w:r w:rsidR="00715491">
        <w:rPr>
          <w:b/>
          <w:bCs/>
          <w:sz w:val="28"/>
          <w:szCs w:val="28"/>
        </w:rPr>
        <w:t xml:space="preserve"> (Honorarvereinbarung)</w:t>
      </w:r>
      <w:r w:rsidR="00A0310E" w:rsidRPr="00A0310E">
        <w:rPr>
          <w:b/>
          <w:bCs/>
          <w:sz w:val="28"/>
          <w:szCs w:val="28"/>
        </w:rPr>
        <w:br/>
      </w:r>
      <w:r w:rsidR="00A0310E" w:rsidRPr="00A0310E">
        <w:rPr>
          <w:b/>
          <w:bCs/>
          <w:sz w:val="24"/>
          <w:szCs w:val="24"/>
        </w:rPr>
        <w:t>Einleitende Hinweise für Vermittler</w:t>
      </w:r>
    </w:p>
    <w:p w14:paraId="54EBD99F" w14:textId="409F2392" w:rsidR="00D63A6E" w:rsidRDefault="00D63A6E" w:rsidP="00A0310E"/>
    <w:p w14:paraId="1F7D7E7A" w14:textId="77777777" w:rsidR="00715491" w:rsidRDefault="00715491" w:rsidP="00715491">
      <w:r>
        <w:t xml:space="preserve">Unser Vorschlag zur Vergütungsvereinbarung ist eine Hilfestellung für Sie, ersetzt aber Ihre Entscheidung über die konkrete Gestaltung im Einzelfall nicht. Das Muster enthält unterschiedliche Optionen. Passen Sie diese an Ihre jeweiligen Bedürfnisse an. Grundsätzliche Änderungen und/oder Ergänzungen sollten nur mit fachkundiger Hilfe (z. B. Rechtsanwalt oder Berufsverband) erfolgen. </w:t>
      </w:r>
    </w:p>
    <w:p w14:paraId="2C69D8A7" w14:textId="77777777" w:rsidR="00715491" w:rsidRPr="00715491" w:rsidRDefault="00715491" w:rsidP="00715491">
      <w:pPr>
        <w:rPr>
          <w:b/>
          <w:bCs/>
        </w:rPr>
      </w:pPr>
      <w:r w:rsidRPr="00715491">
        <w:rPr>
          <w:b/>
          <w:bCs/>
        </w:rPr>
        <w:t xml:space="preserve">Haftung </w:t>
      </w:r>
    </w:p>
    <w:p w14:paraId="73A93956" w14:textId="33889252" w:rsidR="00715491" w:rsidRDefault="00715491" w:rsidP="00715491">
      <w:r>
        <w:t>Der Arbeitskreis Beratungsprozesse übernimmt keine Haftung für Inhalt, Vollständigkeit oder auch die Wirkung der zur Verfügung gestellten Materialien.</w:t>
      </w:r>
    </w:p>
    <w:p w14:paraId="3E097AB3" w14:textId="77777777" w:rsidR="00715491" w:rsidRPr="00715491" w:rsidRDefault="00715491" w:rsidP="00715491">
      <w:pPr>
        <w:rPr>
          <w:b/>
          <w:bCs/>
        </w:rPr>
      </w:pPr>
      <w:r w:rsidRPr="00715491">
        <w:rPr>
          <w:b/>
          <w:bCs/>
        </w:rPr>
        <w:t>Noch ein Hinweis</w:t>
      </w:r>
    </w:p>
    <w:p w14:paraId="3E8A6B12" w14:textId="75BECB42" w:rsidR="00715491" w:rsidRDefault="00715491" w:rsidP="00715491">
      <w:r>
        <w:t>Aus Gründen der besseren Lesbarkeit verwenden wir in unseren Texten die männliche Form/das generische Maskulinum. Entsprechende Begriffe gelten selbstverständlich für alle Geschlechter und enthalten kein We</w:t>
      </w:r>
      <w:r w:rsidR="00663C0B">
        <w:t>r</w:t>
      </w:r>
      <w:r>
        <w:t>tung.</w:t>
      </w:r>
    </w:p>
    <w:p w14:paraId="2DD9A616" w14:textId="11C56B98" w:rsidR="0078189B" w:rsidRDefault="0078189B" w:rsidP="00A0310E"/>
    <w:p w14:paraId="5DBD5246" w14:textId="430A4024" w:rsidR="0078189B" w:rsidRDefault="0078189B" w:rsidP="00A0310E"/>
    <w:p w14:paraId="7B4B7074" w14:textId="18260801" w:rsidR="0078189B" w:rsidRDefault="0078189B" w:rsidP="00A0310E"/>
    <w:p w14:paraId="060DDD91" w14:textId="77777777" w:rsidR="0078189B" w:rsidRDefault="0078189B" w:rsidP="00A0310E"/>
    <w:p w14:paraId="408AE863" w14:textId="77777777" w:rsidR="00A0310E" w:rsidRDefault="00A0310E" w:rsidP="00A0310E"/>
    <w:p w14:paraId="6421B945" w14:textId="77777777" w:rsidR="00A0310E" w:rsidRDefault="00A0310E">
      <w:r>
        <w:br w:type="page"/>
      </w:r>
    </w:p>
    <w:p w14:paraId="21CFC08A" w14:textId="7CCD8632" w:rsidR="00F722A0" w:rsidRPr="00F722A0" w:rsidRDefault="00F722A0" w:rsidP="00425159">
      <w:pPr>
        <w:pStyle w:val="Titel"/>
        <w:pBdr>
          <w:bottom w:val="single" w:sz="4" w:space="1" w:color="auto"/>
        </w:pBdr>
      </w:pPr>
      <w:r w:rsidRPr="00F722A0">
        <w:lastRenderedPageBreak/>
        <w:t>Vergütungsvereinbarung</w:t>
      </w:r>
    </w:p>
    <w:p w14:paraId="780FAACA" w14:textId="16D26DEC" w:rsidR="00961A93" w:rsidRPr="00961A93" w:rsidRDefault="00961A93">
      <w:pPr>
        <w:rPr>
          <w:b/>
        </w:rPr>
      </w:pPr>
      <w:r w:rsidRPr="00961A93">
        <w:rPr>
          <w:b/>
        </w:rPr>
        <w:t>Präambel</w:t>
      </w:r>
    </w:p>
    <w:p w14:paraId="5244B1E7" w14:textId="68686D36" w:rsidR="00715491" w:rsidRDefault="00715491" w:rsidP="00715491">
      <w:r>
        <w:t>Üblicherweise erhält der Makler seine Vergütung für die Vermittlung von Versicherungsverträgen („Courtage“) von der jeweiligen Versicherungsgesellschaft.</w:t>
      </w:r>
    </w:p>
    <w:p w14:paraId="7AE374B1" w14:textId="49250E7E" w:rsidR="0078189B" w:rsidRDefault="00715491" w:rsidP="00715491">
      <w:r>
        <w:t>Wünscht der Kunde vom Makler nun jedoch die Beratung zu und Vermittlung von Versicherungsverträgen (z. B. „Nettopolicen“, Produkte von Direktversicherern), für deren erfolgreiche Vermittlung der Vermittler keine Courtage vom Versicherer erhält, kann eine separate Vergütung vereinbart werden. In diesem Fall trägt der Kunde das Honorar.</w:t>
      </w:r>
    </w:p>
    <w:p w14:paraId="64E15C77" w14:textId="77777777" w:rsidR="00715491" w:rsidRDefault="00715491" w:rsidP="00715491">
      <w:r w:rsidRPr="00961A93">
        <w:t>Dies vorangestellt vereinbaren die Parteien wie folgt:</w:t>
      </w:r>
    </w:p>
    <w:p w14:paraId="49B27ABD" w14:textId="79E79A77" w:rsidR="0078189B" w:rsidRDefault="00715491">
      <w:r w:rsidRPr="00715491">
        <w:t xml:space="preserve">Diese Vereinbarung ergänzt den am </w:t>
      </w:r>
      <w:r w:rsidRPr="00715491">
        <w:rPr>
          <w:highlight w:val="yellow"/>
        </w:rPr>
        <w:t>[Datum]</w:t>
      </w:r>
      <w:r w:rsidRPr="00715491">
        <w:t xml:space="preserve"> zwischen den Parteien geschlossenen Maklervertrag. Soweit sich aus dieser Vereinbarung nichts anderes ergibt, bleiben die Regelungen und Vereinbarungen des Maklervertrages bestehen.</w:t>
      </w:r>
    </w:p>
    <w:p w14:paraId="6831A3E0" w14:textId="77777777" w:rsidR="0078189B" w:rsidRDefault="0078189B"/>
    <w:p w14:paraId="5112C587" w14:textId="14C95777" w:rsidR="00B22233" w:rsidRPr="008B5D8A" w:rsidRDefault="00B22233" w:rsidP="002E315E">
      <w:pPr>
        <w:pStyle w:val="Listenabsatz"/>
        <w:ind w:left="360" w:hanging="360"/>
      </w:pPr>
      <w:bookmarkStart w:id="0" w:name="_Ref72325783"/>
      <w:r w:rsidRPr="008B5D8A">
        <w:t>Vertragsgegenstand</w:t>
      </w:r>
      <w:bookmarkEnd w:id="0"/>
    </w:p>
    <w:p w14:paraId="09305DFA" w14:textId="77777777" w:rsidR="00224610" w:rsidRDefault="00B22233">
      <w:r w:rsidRPr="00B22233">
        <w:t>Gegenstand dieses Auftrages sind die Vermittlung sowie Beratung und sonstige Leistungen im Zusammenhang mit dem Abschluss des nachfolgend benannten Versicherungsvertrages:</w:t>
      </w:r>
    </w:p>
    <w:p w14:paraId="3AD0F792" w14:textId="1B563002" w:rsidR="00224610" w:rsidRDefault="006A0449" w:rsidP="00A3543C">
      <w:pPr>
        <w:tabs>
          <w:tab w:val="left" w:pos="7230"/>
        </w:tabs>
        <w:ind w:left="851"/>
      </w:pPr>
      <w:r>
        <w:rPr>
          <w:u w:val="single"/>
        </w:rPr>
        <w:t xml:space="preserve"> </w:t>
      </w:r>
      <w:r w:rsidR="00051B5C" w:rsidRPr="00BC4C29">
        <w:rPr>
          <w:u w:val="single"/>
        </w:rPr>
        <w:tab/>
      </w:r>
      <w:r w:rsidR="00051B5C" w:rsidRPr="00BC4C29">
        <w:rPr>
          <w:u w:val="single"/>
        </w:rPr>
        <w:tab/>
      </w:r>
    </w:p>
    <w:p w14:paraId="5E895310" w14:textId="3403D9F9" w:rsidR="00B22233" w:rsidRDefault="00B22233">
      <w:r w:rsidRPr="00B22233">
        <w:t xml:space="preserve">Für die Vermittlung erhält der </w:t>
      </w:r>
      <w:r w:rsidR="00D96BFA">
        <w:t>Makler</w:t>
      </w:r>
      <w:r w:rsidRPr="00B22233">
        <w:t xml:space="preserve"> keine Vergütung von der Versicherungsgesellschaft oder anderen Dritten. Für die Dauer der Betreuung des vermittelten Vertrages wird ein Entgelt erhoben.</w:t>
      </w:r>
    </w:p>
    <w:p w14:paraId="55447DBA" w14:textId="04D9A2E6" w:rsidR="00B22233" w:rsidRPr="0068765F" w:rsidRDefault="00B22233" w:rsidP="002E315E">
      <w:pPr>
        <w:pStyle w:val="Listenabsatz"/>
        <w:ind w:left="360" w:hanging="360"/>
      </w:pPr>
      <w:r w:rsidRPr="0068765F">
        <w:t>Höhe der Vergütung</w:t>
      </w:r>
    </w:p>
    <w:p w14:paraId="3F983E82" w14:textId="47870E6E" w:rsidR="00B22233" w:rsidRDefault="00C41EC4" w:rsidP="003B6026">
      <w:pPr>
        <w:ind w:left="709" w:hanging="709"/>
      </w:pPr>
      <w:r w:rsidRPr="00D07385">
        <w:rPr>
          <w:b/>
          <w:sz w:val="28"/>
          <w:szCs w:val="28"/>
        </w:rPr>
        <w:sym w:font="Symbol" w:char="F0FF"/>
      </w:r>
      <w:r w:rsidR="003B6026">
        <w:rPr>
          <w:b/>
        </w:rPr>
        <w:tab/>
      </w:r>
      <w:r w:rsidR="009618A1" w:rsidRPr="00F129F7">
        <w:rPr>
          <w:bCs/>
          <w:i/>
          <w:iCs/>
          <w:color w:val="5B9BD5" w:themeColor="accent1"/>
        </w:rPr>
        <w:t>Option 1 (Nur Einmalvergütung</w:t>
      </w:r>
      <w:r w:rsidR="00B22233" w:rsidRPr="00F129F7">
        <w:rPr>
          <w:bCs/>
          <w:i/>
          <w:iCs/>
          <w:color w:val="5B9BD5" w:themeColor="accent1"/>
        </w:rPr>
        <w:t>):</w:t>
      </w:r>
      <w:r w:rsidR="00B22233" w:rsidRPr="00B22233">
        <w:t xml:space="preserve"> Für die Versicherungsvermittlung und weitere Betreuung erhält der </w:t>
      </w:r>
      <w:r w:rsidR="00D96BFA">
        <w:t>Makler</w:t>
      </w:r>
      <w:r w:rsidR="00B22233" w:rsidRPr="00B22233">
        <w:t xml:space="preserve"> vom Kunden eine einmalige Vergütung in Höhe von [</w:t>
      </w:r>
      <w:r w:rsidR="00B22233" w:rsidRPr="00BC4C29">
        <w:rPr>
          <w:highlight w:val="yellow"/>
        </w:rPr>
        <w:t>X EUR</w:t>
      </w:r>
      <w:r w:rsidR="00B22233" w:rsidRPr="00B22233">
        <w:t xml:space="preserve">]. </w:t>
      </w:r>
    </w:p>
    <w:p w14:paraId="4EA2D752" w14:textId="4572EAB8" w:rsidR="009618A1" w:rsidRPr="00D67CF8" w:rsidRDefault="00B22233" w:rsidP="007812F2">
      <w:pPr>
        <w:pStyle w:val="Listenabsatz"/>
        <w:numPr>
          <w:ilvl w:val="0"/>
          <w:numId w:val="6"/>
        </w:numPr>
        <w:tabs>
          <w:tab w:val="clear" w:pos="567"/>
        </w:tabs>
        <w:ind w:left="709" w:hanging="709"/>
        <w:rPr>
          <w:b w:val="0"/>
          <w:bCs/>
        </w:rPr>
      </w:pPr>
      <w:r w:rsidRPr="007812F2">
        <w:rPr>
          <w:rFonts w:eastAsiaTheme="minorHAnsi" w:cstheme="minorBidi"/>
          <w:b w:val="0"/>
          <w:bCs/>
          <w:i/>
          <w:iCs/>
          <w:color w:val="5B9BD5" w:themeColor="accent1"/>
        </w:rPr>
        <w:t>Option 2 (Nur laufende Vergütung):</w:t>
      </w:r>
      <w:r w:rsidRPr="00B22233">
        <w:t xml:space="preserve"> </w:t>
      </w:r>
      <w:r w:rsidRPr="00D67CF8">
        <w:rPr>
          <w:b w:val="0"/>
          <w:bCs/>
        </w:rPr>
        <w:t xml:space="preserve">Vergütung in </w:t>
      </w:r>
      <w:r w:rsidR="00EB506B" w:rsidRPr="00D67CF8">
        <w:rPr>
          <w:b w:val="0"/>
          <w:bCs/>
        </w:rPr>
        <w:t>gleichbleibenden</w:t>
      </w:r>
      <w:r w:rsidRPr="00D67CF8">
        <w:rPr>
          <w:b w:val="0"/>
          <w:bCs/>
        </w:rPr>
        <w:t xml:space="preserve"> monatlichen Raten: </w:t>
      </w:r>
    </w:p>
    <w:p w14:paraId="6EA3FA5A" w14:textId="23416A3B" w:rsidR="000F0A2E" w:rsidRDefault="00B22233" w:rsidP="009F2549">
      <w:pPr>
        <w:ind w:left="709"/>
      </w:pPr>
      <w:r w:rsidRPr="00B22233">
        <w:t xml:space="preserve">Für die Versicherungsvermittlung und weitere Betreuung erhält der </w:t>
      </w:r>
      <w:r w:rsidR="00D96BFA">
        <w:t>Makler</w:t>
      </w:r>
      <w:r w:rsidRPr="00B22233">
        <w:t xml:space="preserve"> vom Kunden eine </w:t>
      </w:r>
      <w:r w:rsidR="009618A1">
        <w:t xml:space="preserve">laufende </w:t>
      </w:r>
      <w:r w:rsidRPr="00B22233">
        <w:t>Vergütung in Höhe von (</w:t>
      </w:r>
      <w:r w:rsidRPr="00BC4C29">
        <w:rPr>
          <w:highlight w:val="yellow"/>
        </w:rPr>
        <w:t>x</w:t>
      </w:r>
      <w:r w:rsidR="009618A1" w:rsidRPr="00BC4C29">
        <w:rPr>
          <w:highlight w:val="yellow"/>
        </w:rPr>
        <w:t xml:space="preserve"> EUR</w:t>
      </w:r>
      <w:r w:rsidR="009618A1">
        <w:t>).</w:t>
      </w:r>
    </w:p>
    <w:p w14:paraId="582B3350" w14:textId="5360EA58" w:rsidR="009B1E85" w:rsidRDefault="009B1E85" w:rsidP="009F2549">
      <w:pPr>
        <w:ind w:left="709"/>
      </w:pPr>
      <w:r>
        <w:t xml:space="preserve">Zahlt der Kunde keine Beiträge zur Versicherung (Beitragsbefreiung) und verbleibt die Versicherung in der Betreuung des </w:t>
      </w:r>
      <w:r w:rsidR="00D96BFA">
        <w:t>Makler</w:t>
      </w:r>
      <w:r>
        <w:t xml:space="preserve">s, erhält dieser vom Kunden für jedes Jahr eine nachschüssige Vergütung von </w:t>
      </w:r>
      <w:r w:rsidRPr="00BC4C29">
        <w:rPr>
          <w:highlight w:val="yellow"/>
        </w:rPr>
        <w:t>X %</w:t>
      </w:r>
      <w:r>
        <w:t xml:space="preserve"> der bis dahin eingezahlten Beiträge,</w:t>
      </w:r>
      <w:r w:rsidRPr="0086762B">
        <w:t xml:space="preserve"> </w:t>
      </w:r>
      <w:r w:rsidRPr="00B22233">
        <w:t>höchstens jedoch in Höhe der</w:t>
      </w:r>
      <w:r w:rsidR="007C1C3A">
        <w:t xml:space="preserve"> </w:t>
      </w:r>
      <w:r w:rsidRPr="00B22233">
        <w:t xml:space="preserve">ursprünglich vereinbarten laufenden </w:t>
      </w:r>
      <w:r>
        <w:t>Vergütung für ein Jahr</w:t>
      </w:r>
      <w:r w:rsidRPr="00B22233">
        <w:t>.</w:t>
      </w:r>
      <w:r w:rsidR="007C1C3A">
        <w:t xml:space="preserve"> </w:t>
      </w:r>
    </w:p>
    <w:p w14:paraId="0C5C6BB1" w14:textId="480B2150" w:rsidR="009B1E85" w:rsidRDefault="00224610" w:rsidP="003B6026">
      <w:pPr>
        <w:ind w:left="709" w:hanging="709"/>
      </w:pPr>
      <w:r w:rsidRPr="00D07385">
        <w:rPr>
          <w:b/>
          <w:sz w:val="28"/>
          <w:szCs w:val="28"/>
        </w:rPr>
        <w:sym w:font="Symbol" w:char="F0FF"/>
      </w:r>
      <w:r>
        <w:rPr>
          <w:b/>
          <w:sz w:val="28"/>
          <w:szCs w:val="28"/>
        </w:rPr>
        <w:tab/>
      </w:r>
      <w:r w:rsidR="00B22233" w:rsidRPr="00F129F7">
        <w:rPr>
          <w:bCs/>
          <w:i/>
          <w:iCs/>
          <w:color w:val="5B9BD5" w:themeColor="accent1"/>
        </w:rPr>
        <w:t>Option 3 (Einmalzahlung und laufende Vergütung):</w:t>
      </w:r>
      <w:r w:rsidR="00B22233" w:rsidRPr="00B22233">
        <w:t xml:space="preserve"> Für die Versicherungsvermittlung und weitere Betreuung erhält der </w:t>
      </w:r>
      <w:r w:rsidR="00D96BFA">
        <w:t>Makler</w:t>
      </w:r>
      <w:r w:rsidR="00B22233" w:rsidRPr="00B22233">
        <w:t xml:space="preserve"> vom Kunden eine einmalige Vergütung in Höhe von [</w:t>
      </w:r>
      <w:r w:rsidR="00B22233" w:rsidRPr="00BC4C29">
        <w:rPr>
          <w:highlight w:val="yellow"/>
        </w:rPr>
        <w:t>X EUR</w:t>
      </w:r>
      <w:r w:rsidR="00B22233" w:rsidRPr="00B22233">
        <w:t xml:space="preserve">] und eine </w:t>
      </w:r>
      <w:r w:rsidR="009618A1">
        <w:t xml:space="preserve">laufende </w:t>
      </w:r>
      <w:r w:rsidR="00B22233" w:rsidRPr="00B22233">
        <w:t>Vergütung in Höhe von (</w:t>
      </w:r>
      <w:r w:rsidR="00B22233" w:rsidRPr="00BC4C29">
        <w:rPr>
          <w:highlight w:val="yellow"/>
        </w:rPr>
        <w:t>y</w:t>
      </w:r>
      <w:r w:rsidR="009618A1" w:rsidRPr="00BC4C29">
        <w:rPr>
          <w:highlight w:val="yellow"/>
        </w:rPr>
        <w:t xml:space="preserve"> EUR je [Zahlungszeitraum</w:t>
      </w:r>
      <w:r w:rsidR="00BC4C29">
        <w:t>]</w:t>
      </w:r>
      <w:r w:rsidR="009B1E85">
        <w:t>.</w:t>
      </w:r>
    </w:p>
    <w:p w14:paraId="509C20CB" w14:textId="01C918D7" w:rsidR="009B1E85" w:rsidRDefault="009B1E85" w:rsidP="00224610">
      <w:pPr>
        <w:ind w:left="709"/>
      </w:pPr>
      <w:r>
        <w:t xml:space="preserve">Zahlt der Kunde keine Beiträge zur Versicherung (Beitragsbefreiung) und verbleibt die Versicherung in der Betreuung des </w:t>
      </w:r>
      <w:r w:rsidR="00D96BFA">
        <w:t>Makler</w:t>
      </w:r>
      <w:r>
        <w:t xml:space="preserve">s, erhält dieser vom Kunden für jedes Jahr eine nachschüssige Vergütung von </w:t>
      </w:r>
      <w:r w:rsidRPr="00BC4C29">
        <w:rPr>
          <w:highlight w:val="yellow"/>
        </w:rPr>
        <w:t>X %</w:t>
      </w:r>
      <w:r>
        <w:t xml:space="preserve"> der bis dahin eingezahlten Beiträge,</w:t>
      </w:r>
      <w:r w:rsidRPr="0086762B">
        <w:t xml:space="preserve"> </w:t>
      </w:r>
      <w:r w:rsidRPr="00B22233">
        <w:t>höchstens jedoch in Höhe der</w:t>
      </w:r>
      <w:r w:rsidR="007C1C3A">
        <w:t xml:space="preserve"> </w:t>
      </w:r>
      <w:r w:rsidRPr="00B22233">
        <w:t xml:space="preserve">ursprünglich vereinbarten laufenden </w:t>
      </w:r>
      <w:r>
        <w:t>Vergütung für ein Jahr</w:t>
      </w:r>
      <w:r w:rsidRPr="00B22233">
        <w:t>.</w:t>
      </w:r>
      <w:r w:rsidR="007C1C3A">
        <w:t xml:space="preserve"> </w:t>
      </w:r>
    </w:p>
    <w:p w14:paraId="39277F15" w14:textId="77777777" w:rsidR="009B3AC2" w:rsidRDefault="009B3AC2">
      <w:pPr>
        <w:rPr>
          <w:b/>
          <w:sz w:val="28"/>
          <w:szCs w:val="28"/>
        </w:rPr>
      </w:pPr>
      <w:r>
        <w:rPr>
          <w:b/>
          <w:sz w:val="28"/>
          <w:szCs w:val="28"/>
        </w:rPr>
        <w:lastRenderedPageBreak/>
        <w:br w:type="page"/>
      </w:r>
    </w:p>
    <w:p w14:paraId="7D7FB52E" w14:textId="73345180" w:rsidR="0055581E" w:rsidRDefault="00497D41">
      <w:r w:rsidRPr="00D07385">
        <w:rPr>
          <w:b/>
          <w:sz w:val="28"/>
          <w:szCs w:val="28"/>
        </w:rPr>
        <w:sym w:font="Symbol" w:char="F0FF"/>
      </w:r>
      <w:r>
        <w:rPr>
          <w:b/>
          <w:sz w:val="28"/>
          <w:szCs w:val="28"/>
        </w:rPr>
        <w:tab/>
      </w:r>
      <w:r w:rsidR="00B22233" w:rsidRPr="00F129F7">
        <w:rPr>
          <w:bCs/>
          <w:i/>
          <w:iCs/>
          <w:color w:val="5B9BD5" w:themeColor="accent1"/>
        </w:rPr>
        <w:t>Optionale Stundungsvereinbarung</w:t>
      </w:r>
      <w:r w:rsidR="00A25093" w:rsidRPr="00F129F7">
        <w:rPr>
          <w:bCs/>
          <w:i/>
          <w:iCs/>
          <w:color w:val="5B9BD5" w:themeColor="accent1"/>
        </w:rPr>
        <w:t xml:space="preserve"> zu Option 1 und 3</w:t>
      </w:r>
      <w:r w:rsidR="00B22233" w:rsidRPr="00F129F7">
        <w:rPr>
          <w:bCs/>
          <w:i/>
          <w:iCs/>
          <w:color w:val="5B9BD5" w:themeColor="accent1"/>
        </w:rPr>
        <w:t>:</w:t>
      </w:r>
      <w:r w:rsidR="00B22233" w:rsidRPr="00B22233">
        <w:t xml:space="preserve"> </w:t>
      </w:r>
    </w:p>
    <w:p w14:paraId="41110060" w14:textId="5B9EE4F8" w:rsidR="0086762B" w:rsidRDefault="00B22233" w:rsidP="00497D41">
      <w:pPr>
        <w:ind w:left="709"/>
      </w:pPr>
      <w:r w:rsidRPr="00B22233">
        <w:t xml:space="preserve">Der Kunde darf die Einmalvergütung in gleichbleibenden monatlichen Raten über einen Zeitraum </w:t>
      </w:r>
      <w:r w:rsidR="00497D41">
        <w:t xml:space="preserve">von </w:t>
      </w:r>
      <w:r w:rsidRPr="00497D41">
        <w:rPr>
          <w:highlight w:val="yellow"/>
        </w:rPr>
        <w:t>(X)</w:t>
      </w:r>
      <w:r w:rsidRPr="00B22233">
        <w:t xml:space="preserve"> zahlen. Der Vergütungsanspruch wird in diesem Fall unentgeltlich und zinsfrei in der jeweils noch offenen Höhe gestundet. Die erste Rate wird mit Entstehung des Vergütungsanspruchs gemäß </w:t>
      </w:r>
      <w:r w:rsidR="006516F6">
        <w:fldChar w:fldCharType="begin"/>
      </w:r>
      <w:r w:rsidR="006516F6">
        <w:instrText xml:space="preserve"> REF _Ref72324351 \r \h </w:instrText>
      </w:r>
      <w:r w:rsidR="006516F6">
        <w:fldChar w:fldCharType="separate"/>
      </w:r>
      <w:r w:rsidR="006516F6">
        <w:t>§</w:t>
      </w:r>
      <w:r w:rsidR="00994831">
        <w:t xml:space="preserve"> </w:t>
      </w:r>
      <w:r w:rsidR="006516F6">
        <w:t>3</w:t>
      </w:r>
      <w:r w:rsidR="006516F6">
        <w:fldChar w:fldCharType="end"/>
      </w:r>
      <w:r w:rsidRPr="00B22233">
        <w:t xml:space="preserve"> fällig. Die weiteren Raten sind dann jeweils in den Folgemonate</w:t>
      </w:r>
      <w:r w:rsidR="004E533A">
        <w:t>n</w:t>
      </w:r>
      <w:r w:rsidRPr="00B22233">
        <w:t xml:space="preserve"> bis zum dritten Werktag eines jeden Monats zu zahlen, bis der gesamte Vergütungsanspruch </w:t>
      </w:r>
      <w:r w:rsidR="00461F97">
        <w:t>befriedigt</w:t>
      </w:r>
      <w:r w:rsidR="00461F97" w:rsidRPr="00B22233">
        <w:t xml:space="preserve"> </w:t>
      </w:r>
      <w:r w:rsidRPr="00B22233">
        <w:t>ist. Gerät der Kunde mit der Zahlung von mehr als zwei Monatsraten in Verzug, so wird die gesamte dann noch offene Restforderung sofort zur Zahlung fällig. Die vereinbarte unentgeltliche und zinsfreie Stundung entfällt in diesem Fall. Gleiches gilt, wenn aus de</w:t>
      </w:r>
      <w:r w:rsidR="00A25093">
        <w:t xml:space="preserve">m </w:t>
      </w:r>
      <w:r w:rsidRPr="00B22233">
        <w:t xml:space="preserve">vermittelten </w:t>
      </w:r>
      <w:r w:rsidR="00A25093">
        <w:t xml:space="preserve">Versicherungsvertrag </w:t>
      </w:r>
      <w:r w:rsidRPr="00B22233">
        <w:t xml:space="preserve">eine Versicherungsleistung an den Kunden ausgezahlt wurde. Der Kunde kann jederzeit Sondertilgungen in beliebiger Höhe vornehmen. Ist nach der Sondertilgung noch ein Teil der Vergütung offen, so bewirkt die Sondertilgung eine Verkürzung der Restlaufzeit der Ratenzahlungsvereinbarung. Die dann noch verbleibenden restlichen Raten bleiben unverändert bestehen. Eine Änderung, Unterbrechung oder Beendigung der </w:t>
      </w:r>
      <w:r w:rsidR="00A25093">
        <w:t>Beitragszahlung zum vermittelten Versicherungsvertrag</w:t>
      </w:r>
      <w:r w:rsidRPr="00B22233">
        <w:t xml:space="preserve"> hat keinen Einfluss auf die vereinbarte Ratenzahlung.</w:t>
      </w:r>
    </w:p>
    <w:p w14:paraId="444833F3" w14:textId="7E3E602C" w:rsidR="0055581E" w:rsidRPr="00034897" w:rsidRDefault="0055581E" w:rsidP="002E315E">
      <w:pPr>
        <w:pStyle w:val="Listenabsatz"/>
        <w:ind w:left="360" w:hanging="360"/>
      </w:pPr>
      <w:bookmarkStart w:id="1" w:name="_Ref72324351"/>
      <w:r w:rsidRPr="00034897">
        <w:t>Fälligkeit der Vergütung</w:t>
      </w:r>
      <w:bookmarkEnd w:id="1"/>
    </w:p>
    <w:p w14:paraId="40B9EE5A" w14:textId="67E3B3C6" w:rsidR="0055581E" w:rsidRDefault="0086762B" w:rsidP="0086762B">
      <w:r w:rsidRPr="0086762B">
        <w:t>Der Anspruch auf Zahlung der Vergütung entsteht, wenn der zuvor genannte Versicherungsvertrag zustande gekommen ist. Der Versicherungsvertrag gilt als zustande gekommen, wenn der Versicherer den Versicherungsantrag angenommen hat und die Widerrufsfrist abgelaufen ist, ohne dass der Kunde sein gesetzliches Widerrufsrecht wirksam ausgeübt hat. Wird de</w:t>
      </w:r>
      <w:r>
        <w:t>r Versicherungsvertrag</w:t>
      </w:r>
      <w:r w:rsidRPr="0086762B">
        <w:t xml:space="preserve"> wirksam widerrufen, erlischt </w:t>
      </w:r>
      <w:r>
        <w:t>er</w:t>
      </w:r>
      <w:r w:rsidRPr="0086762B">
        <w:t xml:space="preserve"> aus sonstigen Gründen oder wird </w:t>
      </w:r>
      <w:r w:rsidR="0055581E">
        <w:t>er</w:t>
      </w:r>
      <w:r w:rsidRPr="0086762B">
        <w:t xml:space="preserve"> rechtmäßig rückabgewickelt bzw. rückwirkend aufgelöst, so ist der Kunde auch an diese Vergütungsvereinbarung nicht mehr gebunden. Sie gilt dann als von Anfang an nicht zustande gekommen. Ein Anspruch auf eine Vergütung entsteht dann nicht bzw. entfällt rückwirkend</w:t>
      </w:r>
      <w:r w:rsidR="00F460B2">
        <w:t xml:space="preserve">; </w:t>
      </w:r>
      <w:r w:rsidRPr="0086762B">
        <w:t xml:space="preserve">etwaige hierauf geleistete Zahlungen werden erstattet. Dies gilt jedoch nicht, wenn </w:t>
      </w:r>
      <w:r w:rsidR="0055581E">
        <w:t>der Versicherungsvertrag</w:t>
      </w:r>
      <w:r w:rsidRPr="0086762B">
        <w:t xml:space="preserve"> vorzeitig gekündigt oder beitragsfrei gestellt wird.</w:t>
      </w:r>
    </w:p>
    <w:p w14:paraId="5BC38448" w14:textId="77777777" w:rsidR="0064582C" w:rsidRPr="0064582C" w:rsidRDefault="0064582C" w:rsidP="0064582C">
      <w:pPr>
        <w:pStyle w:val="Listenabsatz"/>
        <w:tabs>
          <w:tab w:val="clear" w:pos="567"/>
        </w:tabs>
        <w:ind w:left="360" w:hanging="360"/>
        <w:rPr>
          <w:rFonts w:eastAsiaTheme="minorHAnsi" w:cstheme="minorBidi"/>
          <w:b w:val="0"/>
          <w:color w:val="auto"/>
        </w:rPr>
      </w:pPr>
      <w:r w:rsidRPr="0064582C">
        <w:t>Aufrechnungs- und Abtretungsverbot</w:t>
      </w:r>
    </w:p>
    <w:p w14:paraId="6AED36B3" w14:textId="6C98E9CA" w:rsidR="001A63BF" w:rsidRPr="00F847CA" w:rsidRDefault="001A63BF" w:rsidP="00F847CA">
      <w:r w:rsidRPr="00F847CA">
        <w:t xml:space="preserve">Die Aufrechnung des Kunden gegen eine Forderung des </w:t>
      </w:r>
      <w:r w:rsidR="00D96BFA">
        <w:t>Makler</w:t>
      </w:r>
      <w:r w:rsidRPr="00F847CA">
        <w:t>s ist nur zulässig, soweit die</w:t>
      </w:r>
      <w:r w:rsidR="00795BAA">
        <w:t xml:space="preserve"> </w:t>
      </w:r>
      <w:r w:rsidRPr="00F847CA">
        <w:t>Forderung des Kunden unbestritten oder rechtskräftig festgestellt ist.</w:t>
      </w:r>
      <w:r w:rsidR="008279AA" w:rsidRPr="00F847CA">
        <w:t xml:space="preserve"> </w:t>
      </w:r>
      <w:r w:rsidRPr="00F847CA">
        <w:t>Sämtliche sich aus diesem Vertragsverhältnis ergebenden Rechte und Ansprüche des Kunden</w:t>
      </w:r>
      <w:r w:rsidR="008279AA" w:rsidRPr="00F847CA">
        <w:t xml:space="preserve"> </w:t>
      </w:r>
      <w:r w:rsidRPr="00F847CA">
        <w:t xml:space="preserve">gegenüber dem </w:t>
      </w:r>
      <w:r w:rsidR="00D96BFA">
        <w:t>Makler</w:t>
      </w:r>
      <w:r w:rsidRPr="00F847CA">
        <w:t xml:space="preserve"> dürfen weder abgetreten noch verpfändet werden. Dies gilt unabhän</w:t>
      </w:r>
      <w:r w:rsidR="000401F3" w:rsidRPr="00F847CA">
        <w:t>gig vom Rechtsgrund des jeweiligen Anspruchs. Vom Abtretungs- und Verpfändungsverbot erfasst werden somit z. B. auch Schadensersatzansprüche wegen fehlerhafter Beratung oder Aufklärung.</w:t>
      </w:r>
    </w:p>
    <w:p w14:paraId="37F9BB74" w14:textId="096BEDC0" w:rsidR="0055581E" w:rsidRPr="0068765F" w:rsidRDefault="0055581E" w:rsidP="002E315E">
      <w:pPr>
        <w:pStyle w:val="Listenabsatz"/>
        <w:ind w:left="360" w:hanging="360"/>
      </w:pPr>
      <w:r w:rsidRPr="0068765F">
        <w:t>Beginn, Ende, Kündigung</w:t>
      </w:r>
    </w:p>
    <w:p w14:paraId="029912EF" w14:textId="057E11DE" w:rsidR="0055581E" w:rsidRDefault="0055581E" w:rsidP="0086762B">
      <w:r w:rsidRPr="0055581E">
        <w:t xml:space="preserve">Die Vereinbarung beginnt mit Unterzeichnung und endet, wenn die unter </w:t>
      </w:r>
      <w:r w:rsidR="00BF68CA">
        <w:fldChar w:fldCharType="begin"/>
      </w:r>
      <w:r w:rsidR="00BF68CA">
        <w:instrText xml:space="preserve"> REF _Ref72325783 \r \h </w:instrText>
      </w:r>
      <w:r w:rsidR="00BF68CA">
        <w:fldChar w:fldCharType="separate"/>
      </w:r>
      <w:r w:rsidR="00BF68CA">
        <w:t>§ 1</w:t>
      </w:r>
      <w:r w:rsidR="00BF68CA">
        <w:fldChar w:fldCharType="end"/>
      </w:r>
      <w:r w:rsidR="00BF68CA">
        <w:t xml:space="preserve"> </w:t>
      </w:r>
      <w:r w:rsidRPr="0055581E">
        <w:t xml:space="preserve">konkretisierte Versicherung erfolgreich vermittelt wurde und die Vergütung vollständig </w:t>
      </w:r>
      <w:r w:rsidR="00590E53">
        <w:t>entrichtet</w:t>
      </w:r>
      <w:r w:rsidR="00590E53" w:rsidRPr="0055581E">
        <w:t xml:space="preserve"> </w:t>
      </w:r>
      <w:r w:rsidRPr="0055581E">
        <w:t>ist. Eine ordentliche Kündigung des Vertrags wird ausgeschlossen und ist daher nicht möglich. Davon ausgenommen ist die außerordentliche fristlose Kündigung aus einem wichtigen Grund.</w:t>
      </w:r>
    </w:p>
    <w:p w14:paraId="4577FA5E" w14:textId="66C0678D" w:rsidR="0055581E" w:rsidRPr="00F129F7" w:rsidRDefault="0055581E" w:rsidP="0086762B">
      <w:pPr>
        <w:rPr>
          <w:bCs/>
          <w:i/>
          <w:iCs/>
          <w:color w:val="5B9BD5" w:themeColor="accent1"/>
        </w:rPr>
      </w:pPr>
      <w:r w:rsidRPr="00F129F7">
        <w:rPr>
          <w:bCs/>
          <w:i/>
          <w:iCs/>
          <w:color w:val="5B9BD5" w:themeColor="accent1"/>
        </w:rPr>
        <w:t xml:space="preserve">Optional </w:t>
      </w:r>
    </w:p>
    <w:p w14:paraId="28AE882B" w14:textId="77777777" w:rsidR="00821829" w:rsidRDefault="00A94A5C" w:rsidP="002E315E">
      <w:pPr>
        <w:rPr>
          <w:color w:val="5B9BD5" w:themeColor="accent1"/>
        </w:rPr>
      </w:pPr>
      <w:r>
        <w:t>Die Verpflichtung</w:t>
      </w:r>
      <w:r w:rsidR="0086762B">
        <w:t xml:space="preserve"> </w:t>
      </w:r>
      <w:r>
        <w:t xml:space="preserve">zur Zahlung der </w:t>
      </w:r>
      <w:r w:rsidR="0086762B">
        <w:t>laufende</w:t>
      </w:r>
      <w:r>
        <w:t>n</w:t>
      </w:r>
      <w:r w:rsidR="0086762B">
        <w:t xml:space="preserve"> Vergütung endet, wenn der vermittelte Versicherungsvertrag endet.</w:t>
      </w:r>
    </w:p>
    <w:p w14:paraId="26CCD40D" w14:textId="30630E03" w:rsidR="0086762B" w:rsidRPr="00821829" w:rsidRDefault="006F11E5" w:rsidP="002E315E">
      <w:pPr>
        <w:rPr>
          <w:i/>
          <w:color w:val="5B9BD5" w:themeColor="accent1"/>
        </w:rPr>
      </w:pPr>
      <w:r w:rsidRPr="00824784">
        <w:rPr>
          <w:bCs/>
          <w:i/>
          <w:iCs/>
          <w:color w:val="5B9BD5" w:themeColor="accent1"/>
        </w:rPr>
        <w:t>oder:</w:t>
      </w:r>
      <w:r w:rsidRPr="00824784">
        <w:rPr>
          <w:bCs/>
          <w:i/>
          <w:iCs/>
          <w:color w:val="5B9BD5" w:themeColor="accent1"/>
        </w:rPr>
        <w:br/>
      </w:r>
      <w:r>
        <w:t>Die Verpflichtung zur Zahlung der laufenden Vergütung endet, wenn der vermittelte Versicherungsvertrag endet oder in die Leistungsphase übergeht.</w:t>
      </w:r>
      <w:r w:rsidR="002C118B">
        <w:t xml:space="preserve"> </w:t>
      </w:r>
      <w:r w:rsidR="00966CB9" w:rsidRPr="00781078">
        <w:rPr>
          <w:bCs/>
          <w:i/>
          <w:iCs/>
          <w:color w:val="5B9BD5" w:themeColor="accent1"/>
        </w:rPr>
        <w:t xml:space="preserve">(Ende der </w:t>
      </w:r>
      <w:r w:rsidR="00201803">
        <w:rPr>
          <w:bCs/>
          <w:i/>
          <w:iCs/>
          <w:color w:val="5B9BD5" w:themeColor="accent1"/>
        </w:rPr>
        <w:t xml:space="preserve">zweiten </w:t>
      </w:r>
      <w:r w:rsidR="00067D8E">
        <w:rPr>
          <w:bCs/>
          <w:i/>
          <w:iCs/>
          <w:color w:val="5B9BD5" w:themeColor="accent1"/>
        </w:rPr>
        <w:t>alternativen</w:t>
      </w:r>
      <w:r w:rsidR="00966CB9" w:rsidRPr="00781078">
        <w:rPr>
          <w:bCs/>
          <w:i/>
          <w:iCs/>
          <w:color w:val="5B9BD5" w:themeColor="accent1"/>
        </w:rPr>
        <w:t xml:space="preserve"> Option)</w:t>
      </w:r>
    </w:p>
    <w:p w14:paraId="643A6C5F" w14:textId="23AE2E57" w:rsidR="00DD2FDD" w:rsidRDefault="00DD2FDD" w:rsidP="0086762B">
      <w:r w:rsidRPr="00DD2FDD">
        <w:t>Soweit die vorgenannte Vergütung für die Vermittlung eines Lebensversicherungsvertrages vereinbart ist, kann es im Falle</w:t>
      </w:r>
      <w:r w:rsidR="007C1C3A">
        <w:t xml:space="preserve"> </w:t>
      </w:r>
      <w:r w:rsidRPr="00DD2FDD">
        <w:t>einer</w:t>
      </w:r>
      <w:r w:rsidR="007C1C3A">
        <w:t xml:space="preserve"> </w:t>
      </w:r>
      <w:r w:rsidRPr="00DD2FDD">
        <w:t>vorzeitigen</w:t>
      </w:r>
      <w:r w:rsidR="007C1C3A">
        <w:t xml:space="preserve"> </w:t>
      </w:r>
      <w:r w:rsidRPr="00DD2FDD">
        <w:t>Beendigung</w:t>
      </w:r>
      <w:r w:rsidR="007C1C3A">
        <w:t xml:space="preserve"> </w:t>
      </w:r>
      <w:r w:rsidRPr="00DD2FDD">
        <w:t>des</w:t>
      </w:r>
      <w:r w:rsidR="007C1C3A">
        <w:t xml:space="preserve"> </w:t>
      </w:r>
      <w:r w:rsidRPr="00DD2FDD">
        <w:t>geschlossenen</w:t>
      </w:r>
      <w:r w:rsidR="007C1C3A">
        <w:t xml:space="preserve"> </w:t>
      </w:r>
      <w:r w:rsidRPr="00DD2FDD">
        <w:t>Versicherungsvertrages</w:t>
      </w:r>
      <w:r w:rsidR="007C1C3A">
        <w:t xml:space="preserve"> </w:t>
      </w:r>
      <w:r w:rsidRPr="00DD2FDD">
        <w:t>in</w:t>
      </w:r>
      <w:r w:rsidR="007C1C3A">
        <w:t xml:space="preserve"> </w:t>
      </w:r>
      <w:r w:rsidRPr="00DD2FDD">
        <w:t>den</w:t>
      </w:r>
      <w:r w:rsidR="007C1C3A">
        <w:t xml:space="preserve"> </w:t>
      </w:r>
      <w:r w:rsidRPr="00DD2FDD">
        <w:t>ersten</w:t>
      </w:r>
      <w:r w:rsidR="007C1C3A">
        <w:t xml:space="preserve"> </w:t>
      </w:r>
      <w:r w:rsidRPr="00DD2FDD">
        <w:t>Jahren</w:t>
      </w:r>
      <w:r w:rsidR="007C1C3A">
        <w:t xml:space="preserve"> </w:t>
      </w:r>
      <w:r w:rsidRPr="00DD2FDD">
        <w:t>bei</w:t>
      </w:r>
      <w:r w:rsidR="007C1C3A">
        <w:t xml:space="preserve"> </w:t>
      </w:r>
      <w:r w:rsidRPr="00DD2FDD">
        <w:t>einer</w:t>
      </w:r>
      <w:r w:rsidR="007C1C3A">
        <w:t xml:space="preserve"> </w:t>
      </w:r>
      <w:r w:rsidRPr="00DD2FDD">
        <w:t>Summenbetrachtung</w:t>
      </w:r>
      <w:r w:rsidR="007C1C3A">
        <w:t xml:space="preserve"> </w:t>
      </w:r>
      <w:r w:rsidRPr="00DD2FDD">
        <w:t>von</w:t>
      </w:r>
      <w:r w:rsidR="007C1C3A">
        <w:t xml:space="preserve"> </w:t>
      </w:r>
      <w:r w:rsidRPr="00DD2FDD">
        <w:t>Rückkaufswert</w:t>
      </w:r>
      <w:r w:rsidR="007C1C3A">
        <w:t xml:space="preserve"> </w:t>
      </w:r>
      <w:r w:rsidRPr="00DD2FDD">
        <w:t>und</w:t>
      </w:r>
      <w:r w:rsidR="007C1C3A">
        <w:t xml:space="preserve"> </w:t>
      </w:r>
      <w:r w:rsidRPr="00DD2FDD">
        <w:t>geschuldete</w:t>
      </w:r>
      <w:r w:rsidR="00980372">
        <w:t>m</w:t>
      </w:r>
      <w:r w:rsidR="007C1C3A">
        <w:t xml:space="preserve"> </w:t>
      </w:r>
      <w:r w:rsidRPr="00DD2FDD">
        <w:t>Vergütungsanspruch</w:t>
      </w:r>
      <w:r w:rsidR="007C1C3A">
        <w:t xml:space="preserve"> </w:t>
      </w:r>
      <w:r w:rsidRPr="00DD2FDD">
        <w:t>zu</w:t>
      </w:r>
      <w:r w:rsidR="007C1C3A">
        <w:t xml:space="preserve"> </w:t>
      </w:r>
      <w:r w:rsidRPr="00DD2FDD">
        <w:t>einer</w:t>
      </w:r>
      <w:r w:rsidR="007C1C3A">
        <w:t xml:space="preserve"> </w:t>
      </w:r>
      <w:r w:rsidRPr="00DD2FDD">
        <w:t>finanziellen</w:t>
      </w:r>
      <w:r w:rsidR="007C1C3A">
        <w:t xml:space="preserve"> </w:t>
      </w:r>
      <w:r w:rsidRPr="00DD2FDD">
        <w:t>Schlechterstellung</w:t>
      </w:r>
      <w:r w:rsidR="007C1C3A">
        <w:t xml:space="preserve"> </w:t>
      </w:r>
      <w:r w:rsidRPr="00DD2FDD">
        <w:t>im Vergleich zum Abschluss eines Versicherungsvertrages, in den eine Courtage eingerechnet ist, kommen.</w:t>
      </w:r>
    </w:p>
    <w:p w14:paraId="1E170BD2" w14:textId="77777777" w:rsidR="002E315E" w:rsidRPr="00824784" w:rsidRDefault="002E315E" w:rsidP="00824784">
      <w:pPr>
        <w:pStyle w:val="Listenabsatz"/>
      </w:pPr>
      <w:r w:rsidRPr="00824784">
        <w:t>Rechtsnachfolge</w:t>
      </w:r>
    </w:p>
    <w:p w14:paraId="7D004C16" w14:textId="335D874E" w:rsidR="00795299" w:rsidRPr="003A3B08" w:rsidRDefault="00795299" w:rsidP="002E315E">
      <w:r w:rsidRPr="003A3B08">
        <w:t xml:space="preserve">Für den Fall, dass der </w:t>
      </w:r>
      <w:r w:rsidR="00D96BFA">
        <w:t>Makler</w:t>
      </w:r>
      <w:r w:rsidRPr="003A3B08">
        <w:t xml:space="preserve"> nach Abschluss dieser </w:t>
      </w:r>
      <w:r w:rsidR="009C04E4">
        <w:t>V</w:t>
      </w:r>
      <w:r w:rsidR="009C04E4" w:rsidRPr="003A3B08">
        <w:t xml:space="preserve">ereinbarung </w:t>
      </w:r>
      <w:r w:rsidRPr="003A3B08">
        <w:t xml:space="preserve">eine Änderung seiner Rechtsform vornimmt und die vertraglich vereinbarten Leistungen künftig in der geänderten Rechtsform erbringen wird, ist der </w:t>
      </w:r>
      <w:r w:rsidR="00D96BFA">
        <w:t>Makler</w:t>
      </w:r>
      <w:r w:rsidRPr="003A3B08">
        <w:t xml:space="preserve"> berechtigt, die Rechte und Pflichten aus dieser </w:t>
      </w:r>
      <w:r w:rsidR="00F95EED">
        <w:t>V</w:t>
      </w:r>
      <w:r w:rsidRPr="003A3B08">
        <w:t>ereinbarung auf seinen Rechtsnachfolger zu übertragen. Das gilt insbesondere für den Fall der Gründung einer Personenhandelsgesellschaft oder einer juristischen Person.</w:t>
      </w:r>
    </w:p>
    <w:p w14:paraId="6DAAEBCE" w14:textId="6B011118" w:rsidR="00795299" w:rsidRPr="00B30870" w:rsidRDefault="00795299" w:rsidP="00795299">
      <w:pPr>
        <w:spacing w:line="276" w:lineRule="auto"/>
        <w:jc w:val="both"/>
        <w:rPr>
          <w:rFonts w:cs="Arial"/>
          <w:color w:val="000000" w:themeColor="text1"/>
        </w:rPr>
      </w:pPr>
      <w:r w:rsidRPr="00B30870">
        <w:rPr>
          <w:rFonts w:cs="Arial"/>
          <w:color w:val="000000" w:themeColor="text1"/>
        </w:rPr>
        <w:t xml:space="preserve">Der </w:t>
      </w:r>
      <w:r w:rsidR="00D96BFA">
        <w:rPr>
          <w:rFonts w:cs="Arial"/>
          <w:color w:val="000000" w:themeColor="text1"/>
        </w:rPr>
        <w:t>Makler</w:t>
      </w:r>
      <w:r w:rsidRPr="00B30870">
        <w:rPr>
          <w:rFonts w:cs="Arial"/>
          <w:color w:val="000000" w:themeColor="text1"/>
        </w:rPr>
        <w:t xml:space="preserve"> ist außerdem berechtigt, im Fall der Geschäftsaufgabe die Rechte und Pflichten aus dieser Servicevereinbarung auf einen anderen geeigneten Vertragspartner zu übertragen. Der </w:t>
      </w:r>
      <w:r w:rsidR="00A169A9">
        <w:rPr>
          <w:rFonts w:cs="Arial"/>
          <w:color w:val="000000" w:themeColor="text1"/>
        </w:rPr>
        <w:t>Kunde</w:t>
      </w:r>
      <w:r w:rsidRPr="00B30870">
        <w:rPr>
          <w:rFonts w:cs="Arial"/>
          <w:color w:val="000000" w:themeColor="text1"/>
        </w:rPr>
        <w:t xml:space="preserve"> ist damit einverstanden, dass der </w:t>
      </w:r>
      <w:r w:rsidR="00D96BFA">
        <w:rPr>
          <w:rFonts w:cs="Arial"/>
          <w:color w:val="000000" w:themeColor="text1"/>
        </w:rPr>
        <w:t>Makler</w:t>
      </w:r>
      <w:r w:rsidRPr="00B30870">
        <w:rPr>
          <w:rFonts w:cs="Arial"/>
          <w:color w:val="000000" w:themeColor="text1"/>
        </w:rPr>
        <w:t xml:space="preserve"> den Vertragspartner, dem die Übernahme angedient werden soll, nach eigenem Ermessen auswählt.</w:t>
      </w:r>
      <w:r w:rsidR="007C1C3A">
        <w:rPr>
          <w:rFonts w:cs="Arial"/>
          <w:color w:val="000000" w:themeColor="text1"/>
        </w:rPr>
        <w:t xml:space="preserve">   </w:t>
      </w:r>
    </w:p>
    <w:p w14:paraId="1CC6F796" w14:textId="46343D60" w:rsidR="00795299" w:rsidRPr="003F0929" w:rsidRDefault="00795299" w:rsidP="00795299">
      <w:pPr>
        <w:spacing w:line="276" w:lineRule="auto"/>
        <w:jc w:val="both"/>
        <w:rPr>
          <w:rFonts w:cs="Arial"/>
          <w:color w:val="000000" w:themeColor="text1"/>
        </w:rPr>
      </w:pPr>
      <w:r w:rsidRPr="00B30870">
        <w:rPr>
          <w:rFonts w:cs="Arial"/>
          <w:color w:val="000000" w:themeColor="text1"/>
        </w:rPr>
        <w:t xml:space="preserve">Der </w:t>
      </w:r>
      <w:r w:rsidR="00A169A9">
        <w:rPr>
          <w:rFonts w:cs="Arial"/>
          <w:color w:val="000000" w:themeColor="text1"/>
        </w:rPr>
        <w:t>Kunde</w:t>
      </w:r>
      <w:r w:rsidRPr="00B30870">
        <w:rPr>
          <w:rFonts w:cs="Arial"/>
          <w:color w:val="000000" w:themeColor="text1"/>
        </w:rPr>
        <w:t xml:space="preserve"> stimmt bereits jetzt einer Übertragung aller Rechte und Pflichten aus diesem Vertrag auf den Rechtsnachfolger zu.</w:t>
      </w:r>
      <w:r w:rsidR="007C1C3A">
        <w:rPr>
          <w:rFonts w:cs="Arial"/>
          <w:color w:val="000000" w:themeColor="text1"/>
        </w:rPr>
        <w:t xml:space="preserve"> </w:t>
      </w:r>
      <w:r w:rsidRPr="00B30870">
        <w:rPr>
          <w:rFonts w:cs="Arial"/>
          <w:color w:val="000000" w:themeColor="text1"/>
        </w:rPr>
        <w:t xml:space="preserve">Der </w:t>
      </w:r>
      <w:r w:rsidR="00A169A9">
        <w:rPr>
          <w:rFonts w:cs="Arial"/>
          <w:color w:val="000000" w:themeColor="text1"/>
        </w:rPr>
        <w:t>Kunde</w:t>
      </w:r>
      <w:r w:rsidRPr="00B30870">
        <w:rPr>
          <w:rFonts w:cs="Arial"/>
          <w:color w:val="000000" w:themeColor="text1"/>
        </w:rPr>
        <w:t xml:space="preserve"> wird vom </w:t>
      </w:r>
      <w:r w:rsidR="00D96BFA">
        <w:rPr>
          <w:rFonts w:cs="Arial"/>
          <w:color w:val="000000" w:themeColor="text1"/>
        </w:rPr>
        <w:t>Makler</w:t>
      </w:r>
      <w:r w:rsidRPr="00B30870">
        <w:rPr>
          <w:rFonts w:cs="Arial"/>
          <w:color w:val="000000" w:themeColor="text1"/>
        </w:rPr>
        <w:t xml:space="preserve"> vor der Übertragung über die bevorstehende Übertragung informiert. Dem </w:t>
      </w:r>
      <w:r w:rsidR="00A169A9">
        <w:rPr>
          <w:rFonts w:cs="Arial"/>
          <w:color w:val="000000" w:themeColor="text1"/>
        </w:rPr>
        <w:t>Kunde</w:t>
      </w:r>
      <w:r w:rsidR="009F3CD4">
        <w:rPr>
          <w:rFonts w:cs="Arial"/>
          <w:color w:val="000000" w:themeColor="text1"/>
        </w:rPr>
        <w:t>n</w:t>
      </w:r>
      <w:r w:rsidRPr="00B30870">
        <w:rPr>
          <w:rFonts w:cs="Arial"/>
          <w:color w:val="000000" w:themeColor="text1"/>
        </w:rPr>
        <w:t xml:space="preserve"> wird für den Fall der Vertragsübertragung das Recht eingeräumt, die </w:t>
      </w:r>
      <w:r w:rsidR="00F95EED">
        <w:rPr>
          <w:rFonts w:cs="Arial"/>
          <w:color w:val="000000" w:themeColor="text1"/>
        </w:rPr>
        <w:t>V</w:t>
      </w:r>
      <w:r w:rsidRPr="00B30870">
        <w:rPr>
          <w:rFonts w:cs="Arial"/>
          <w:color w:val="000000" w:themeColor="text1"/>
        </w:rPr>
        <w:t xml:space="preserve">ereinbarung durch Erklärung gegenüber dem </w:t>
      </w:r>
      <w:r w:rsidR="00D96BFA">
        <w:rPr>
          <w:rFonts w:cs="Arial"/>
          <w:color w:val="000000" w:themeColor="text1"/>
        </w:rPr>
        <w:t>Makler</w:t>
      </w:r>
      <w:r w:rsidRPr="00B30870">
        <w:rPr>
          <w:rFonts w:cs="Arial"/>
          <w:color w:val="000000" w:themeColor="text1"/>
        </w:rPr>
        <w:t xml:space="preserve"> oder dem Rechtsnachfolger mit sofortiger Wirkung zu beenden.</w:t>
      </w:r>
    </w:p>
    <w:p w14:paraId="3C9D981F" w14:textId="2009CA4A" w:rsidR="00CB256C" w:rsidRPr="002E315E" w:rsidRDefault="00CB256C" w:rsidP="002E315E">
      <w:pPr>
        <w:pStyle w:val="Listenabsatz"/>
        <w:ind w:left="360" w:hanging="360"/>
      </w:pPr>
      <w:r w:rsidRPr="002E315E">
        <w:t>Schlussbestimmungen</w:t>
      </w:r>
    </w:p>
    <w:p w14:paraId="59C2CDE6" w14:textId="7788D9D3" w:rsidR="00CB256C" w:rsidRPr="001F5DDA" w:rsidRDefault="00CB256C" w:rsidP="00CB256C">
      <w:pPr>
        <w:spacing w:line="276" w:lineRule="auto"/>
        <w:jc w:val="both"/>
        <w:rPr>
          <w:rFonts w:cs="Arial"/>
          <w:color w:val="000000"/>
        </w:rPr>
      </w:pPr>
      <w:r w:rsidRPr="001F5DDA">
        <w:rPr>
          <w:rFonts w:cs="Arial"/>
          <w:color w:val="000000"/>
        </w:rPr>
        <w:t xml:space="preserve">Es bestehen keine mündlichen Nebenabreden. Änderungen oder Ergänzungen dieses Vertrages sind nur wirksam, wenn sie in Textform vereinbart werden. Dies gilt auch für eine Änderung dieser Textformklausel. Abweichend davon sind auch formlos getroffene Änderungen oder Ergänzungen wirksam, wenn sie individuelle Vertragsabreden sind. </w:t>
      </w:r>
    </w:p>
    <w:p w14:paraId="43362CFB" w14:textId="33FBD864" w:rsidR="00CB256C" w:rsidRPr="001F5DDA" w:rsidRDefault="00CB256C" w:rsidP="00CB256C">
      <w:pPr>
        <w:spacing w:line="276" w:lineRule="auto"/>
        <w:jc w:val="both"/>
        <w:rPr>
          <w:rFonts w:cs="Arial"/>
          <w:color w:val="000000"/>
        </w:rPr>
      </w:pPr>
      <w:r w:rsidRPr="001F5DDA">
        <w:rPr>
          <w:rFonts w:cs="Arial"/>
          <w:color w:val="000000"/>
        </w:rPr>
        <w:t>Sollte eine Regelung dieser Vereinbarung unwirksam sein oder werden</w:t>
      </w:r>
      <w:r w:rsidR="009F3CD4">
        <w:rPr>
          <w:rFonts w:cs="Arial"/>
          <w:color w:val="000000"/>
        </w:rPr>
        <w:t>,</w:t>
      </w:r>
      <w:r w:rsidRPr="001F5DDA">
        <w:rPr>
          <w:rFonts w:cs="Arial"/>
          <w:color w:val="000000"/>
        </w:rPr>
        <w:t xml:space="preserve"> oder sich eine Regelungslücke herausstellen, berührt dies nicht die Wirksamkeit des Vertrages als Ganzem. Die unwirksame Bestimmung oder die Schließung der Lücke hat vielmehr ergänzend durch eine Regelung zu erfolgen, die dem beabsichtigten Zwecke der Regelung am nächsten kommt.</w:t>
      </w:r>
    </w:p>
    <w:p w14:paraId="0FD85876" w14:textId="43B8C7FC" w:rsidR="00CB256C" w:rsidRPr="001F5DDA" w:rsidRDefault="00CB256C" w:rsidP="00261815">
      <w:pPr>
        <w:spacing w:line="276" w:lineRule="auto"/>
        <w:jc w:val="both"/>
        <w:rPr>
          <w:rFonts w:cs="Arial"/>
          <w:color w:val="000000"/>
        </w:rPr>
      </w:pPr>
      <w:r w:rsidRPr="001F5DDA">
        <w:rPr>
          <w:rFonts w:cs="Arial"/>
          <w:color w:val="000000"/>
        </w:rPr>
        <w:t xml:space="preserve">Erfüllungsort und Gerichtsstand für alle sich aus diesem Vertrag ergebenden Rechte und Pflichten ist der Sitz des </w:t>
      </w:r>
      <w:r w:rsidR="00D96BFA">
        <w:rPr>
          <w:rFonts w:cs="Arial"/>
          <w:color w:val="000000"/>
        </w:rPr>
        <w:t>Makler</w:t>
      </w:r>
      <w:r w:rsidRPr="001F5DDA">
        <w:rPr>
          <w:rFonts w:cs="Arial"/>
          <w:color w:val="000000"/>
        </w:rPr>
        <w:t xml:space="preserve">s, soweit </w:t>
      </w:r>
      <w:r w:rsidRPr="00116930">
        <w:rPr>
          <w:rFonts w:cs="Arial"/>
          <w:color w:val="000000"/>
        </w:rPr>
        <w:t>beide Vertragsparteien Kaufleute oder eine juristische Person</w:t>
      </w:r>
      <w:r w:rsidRPr="001F5DDA">
        <w:rPr>
          <w:rFonts w:cs="Arial"/>
          <w:color w:val="000000"/>
        </w:rPr>
        <w:t xml:space="preserve"> des öffentlichen Rechts sind oder der </w:t>
      </w:r>
      <w:r w:rsidR="00A169A9">
        <w:rPr>
          <w:rFonts w:cs="Arial"/>
          <w:color w:val="000000"/>
        </w:rPr>
        <w:t>Kunde</w:t>
      </w:r>
      <w:r w:rsidRPr="001F5DDA">
        <w:rPr>
          <w:rFonts w:cs="Arial"/>
          <w:color w:val="000000"/>
        </w:rPr>
        <w:t xml:space="preserve"> seinen Wohnsitz oder seinen gewöhnlichen Aufenthaltsort aus der Bundesrepublik Deutschland verlegt. </w:t>
      </w:r>
    </w:p>
    <w:p w14:paraId="79C6643B" w14:textId="19ECF9F3" w:rsidR="00CB256C" w:rsidRDefault="00CB256C" w:rsidP="00CB256C">
      <w:pPr>
        <w:spacing w:line="276" w:lineRule="auto"/>
        <w:rPr>
          <w:rFonts w:cs="Arial"/>
          <w:color w:val="000000"/>
        </w:rPr>
      </w:pPr>
      <w:r w:rsidRPr="001F5DDA">
        <w:rPr>
          <w:rFonts w:cs="Arial"/>
          <w:color w:val="000000"/>
        </w:rPr>
        <w:t>Es findet deutsches Recht Anwendung.</w:t>
      </w:r>
    </w:p>
    <w:p w14:paraId="333D8FAF" w14:textId="6DFCB68C" w:rsidR="00AC050B" w:rsidRDefault="00AC050B" w:rsidP="00CB256C">
      <w:pPr>
        <w:spacing w:line="276" w:lineRule="auto"/>
        <w:rPr>
          <w:rFonts w:cs="Arial"/>
          <w:color w:val="000000"/>
        </w:rPr>
      </w:pPr>
    </w:p>
    <w:p w14:paraId="12F40D00" w14:textId="5B7A09FE" w:rsidR="009F3CD4" w:rsidRDefault="009F3CD4" w:rsidP="009F3CD4">
      <w:pPr>
        <w:tabs>
          <w:tab w:val="left" w:pos="5103"/>
        </w:tabs>
        <w:spacing w:line="276" w:lineRule="auto"/>
        <w:rPr>
          <w:rFonts w:cs="Arial"/>
          <w:color w:val="000000"/>
        </w:rPr>
      </w:pPr>
      <w:r>
        <w:rPr>
          <w:rFonts w:cs="Arial"/>
          <w:color w:val="000000"/>
        </w:rPr>
        <w:t>Ort, Datum</w:t>
      </w:r>
      <w:r>
        <w:rPr>
          <w:rFonts w:cs="Arial"/>
          <w:color w:val="000000"/>
        </w:rPr>
        <w:tab/>
        <w:t>Ort, Datum</w:t>
      </w:r>
    </w:p>
    <w:p w14:paraId="73DE39E6" w14:textId="27D24046" w:rsidR="00E122CA" w:rsidRDefault="00E122CA" w:rsidP="009F3CD4">
      <w:pPr>
        <w:tabs>
          <w:tab w:val="left" w:pos="5103"/>
        </w:tabs>
        <w:spacing w:line="276" w:lineRule="auto"/>
        <w:rPr>
          <w:rFonts w:cs="Arial"/>
          <w:color w:val="000000"/>
        </w:rPr>
      </w:pPr>
      <w:r>
        <w:rPr>
          <w:rFonts w:cs="Arial"/>
          <w:color w:val="000000"/>
        </w:rPr>
        <w:t>_______________________________</w:t>
      </w:r>
      <w:r>
        <w:rPr>
          <w:rFonts w:cs="Arial"/>
          <w:color w:val="000000"/>
        </w:rPr>
        <w:tab/>
      </w:r>
      <w:r w:rsidRPr="00E122CA">
        <w:rPr>
          <w:rFonts w:cs="Arial"/>
          <w:color w:val="000000"/>
        </w:rPr>
        <w:t>_______________________________</w:t>
      </w:r>
    </w:p>
    <w:p w14:paraId="0247A8EB" w14:textId="5135F52E" w:rsidR="009F3CD4" w:rsidRDefault="009F3CD4" w:rsidP="00CB256C">
      <w:pPr>
        <w:spacing w:line="276" w:lineRule="auto"/>
        <w:rPr>
          <w:rFonts w:cs="Arial"/>
          <w:color w:val="000000"/>
        </w:rPr>
      </w:pPr>
    </w:p>
    <w:p w14:paraId="1E0BCA44" w14:textId="42EA457B" w:rsidR="00E122CA" w:rsidRDefault="00E122CA" w:rsidP="00E122CA">
      <w:pPr>
        <w:tabs>
          <w:tab w:val="left" w:pos="5103"/>
        </w:tabs>
        <w:spacing w:line="276" w:lineRule="auto"/>
        <w:rPr>
          <w:rFonts w:cs="Arial"/>
          <w:color w:val="000000"/>
        </w:rPr>
      </w:pPr>
      <w:r>
        <w:rPr>
          <w:rFonts w:cs="Arial"/>
          <w:color w:val="000000"/>
        </w:rPr>
        <w:t>Unterschrift Makler</w:t>
      </w:r>
      <w:r>
        <w:rPr>
          <w:rFonts w:cs="Arial"/>
          <w:color w:val="000000"/>
        </w:rPr>
        <w:tab/>
        <w:t>Unterschrift Kunde</w:t>
      </w:r>
    </w:p>
    <w:p w14:paraId="61EE1D41" w14:textId="06E53297" w:rsidR="00E122CA" w:rsidRDefault="00E122CA" w:rsidP="00E122CA">
      <w:pPr>
        <w:tabs>
          <w:tab w:val="left" w:pos="5103"/>
        </w:tabs>
        <w:spacing w:line="276" w:lineRule="auto"/>
        <w:rPr>
          <w:rFonts w:cs="Arial"/>
          <w:color w:val="000000"/>
        </w:rPr>
      </w:pPr>
    </w:p>
    <w:p w14:paraId="21D27485" w14:textId="060FEA17" w:rsidR="00E122CA" w:rsidRDefault="00E122CA" w:rsidP="00E122CA">
      <w:pPr>
        <w:tabs>
          <w:tab w:val="left" w:pos="5103"/>
        </w:tabs>
        <w:spacing w:line="276" w:lineRule="auto"/>
        <w:rPr>
          <w:rFonts w:cs="Arial"/>
          <w:color w:val="000000"/>
        </w:rPr>
      </w:pPr>
      <w:r w:rsidRPr="00E122CA">
        <w:rPr>
          <w:rFonts w:cs="Arial"/>
          <w:color w:val="000000"/>
        </w:rPr>
        <w:t>_______________________________</w:t>
      </w:r>
      <w:r>
        <w:rPr>
          <w:rFonts w:cs="Arial"/>
          <w:color w:val="000000"/>
        </w:rPr>
        <w:tab/>
      </w:r>
      <w:r w:rsidRPr="00E122CA">
        <w:rPr>
          <w:rFonts w:cs="Arial"/>
          <w:color w:val="000000"/>
        </w:rPr>
        <w:t>_______________________________</w:t>
      </w:r>
    </w:p>
    <w:p w14:paraId="279EF255" w14:textId="164797FD" w:rsidR="00D31F73" w:rsidRPr="00247D27" w:rsidRDefault="00D31F73" w:rsidP="00D31F73">
      <w:pPr>
        <w:rPr>
          <w:rFonts w:cs="Arial"/>
          <w:b/>
          <w:sz w:val="28"/>
          <w:szCs w:val="28"/>
        </w:rPr>
      </w:pPr>
      <w:r w:rsidRPr="00247D27">
        <w:rPr>
          <w:rFonts w:cs="Arial"/>
          <w:b/>
          <w:sz w:val="28"/>
          <w:szCs w:val="28"/>
        </w:rPr>
        <w:t>Widerrufsbelehrung</w:t>
      </w:r>
    </w:p>
    <w:p w14:paraId="7F6EDB44" w14:textId="539E80ED" w:rsidR="00D31F73" w:rsidRPr="00EC66DF" w:rsidRDefault="00D31F73" w:rsidP="00247D27">
      <w:pPr>
        <w:rPr>
          <w:rFonts w:cs="Arial"/>
          <w:bCs/>
        </w:rPr>
      </w:pPr>
      <w:r w:rsidRPr="001F5DDA">
        <w:rPr>
          <w:rFonts w:cs="Arial"/>
          <w:b/>
        </w:rPr>
        <w:t>Widerrufsrecht</w:t>
      </w:r>
      <w:r w:rsidRPr="001F5DDA">
        <w:rPr>
          <w:rFonts w:cs="Arial"/>
          <w:b/>
        </w:rPr>
        <w:br/>
      </w:r>
      <w:r w:rsidRPr="00EC66DF">
        <w:rPr>
          <w:rFonts w:cs="Arial"/>
          <w:bCs/>
        </w:rPr>
        <w:t xml:space="preserve">Sie haben das Recht, binnen vierzehn Tagen ohne Angabe von Gründen diesen Vertrag zu widerrufen. Die Widerrufsfrist beträgt vierzehn Tage ab dem Tag des Vertragsabschlusses. Um Ihr Widerrufsrecht auszuüben, müssen Sie uns </w:t>
      </w:r>
      <w:r w:rsidRPr="00EC66DF">
        <w:rPr>
          <w:rFonts w:cs="Arial"/>
          <w:bCs/>
          <w:highlight w:val="yellow"/>
        </w:rPr>
        <w:t>(</w:t>
      </w:r>
      <w:r w:rsidRPr="00EC66DF">
        <w:rPr>
          <w:rFonts w:cs="Arial"/>
          <w:bCs/>
          <w:i/>
          <w:highlight w:val="yellow"/>
        </w:rPr>
        <w:t xml:space="preserve">Name, Ihre Anschrift, Ihre Telefonnummer, Telefaxnummer und E-Mail-Adresse </w:t>
      </w:r>
      <w:r w:rsidR="00247D27" w:rsidRPr="00EC66DF">
        <w:rPr>
          <w:rFonts w:cs="Arial"/>
          <w:bCs/>
          <w:i/>
          <w:highlight w:val="yellow"/>
        </w:rPr>
        <w:t>des Makler</w:t>
      </w:r>
      <w:r w:rsidR="0011646B">
        <w:rPr>
          <w:rFonts w:cs="Arial"/>
          <w:bCs/>
          <w:i/>
        </w:rPr>
        <w:t>s</w:t>
      </w:r>
      <w:r w:rsidRPr="00EC66DF">
        <w:rPr>
          <w:rFonts w:cs="Arial"/>
          <w:bCs/>
        </w:rPr>
        <w:t>) mittels einer eindeutigen Erklärung (z.B. ein mit der Post versandter Brief, Telefax oder E-Mail) über Ihren Entschluss, diesen Vertrag zu widerrufen, informieren. Sie können dafür das beigefügte Muster-Widerrufsformular verwenden, das jedoch nicht vorgeschrieben ist. Zur Wahrung der Widerrufsfrist reicht es aus, dass Sie die Mitteilung über die Ausübung des Widerrufsrechts vor Ablauf der Widerrufsfrist absenden.</w:t>
      </w:r>
    </w:p>
    <w:p w14:paraId="1A468CBB" w14:textId="2820A77D" w:rsidR="00D31F73" w:rsidRPr="00EC66DF" w:rsidRDefault="00D31F73" w:rsidP="00D31F73">
      <w:pPr>
        <w:rPr>
          <w:rFonts w:cs="Arial"/>
          <w:bCs/>
        </w:rPr>
      </w:pPr>
      <w:r w:rsidRPr="001F5DDA">
        <w:rPr>
          <w:rFonts w:cs="Arial"/>
          <w:b/>
        </w:rPr>
        <w:t>Folgen des Widerrufs</w:t>
      </w:r>
      <w:r w:rsidRPr="001F5DDA">
        <w:rPr>
          <w:rFonts w:cs="Arial"/>
          <w:b/>
        </w:rPr>
        <w:br/>
      </w:r>
      <w:r w:rsidRPr="00EC66DF">
        <w:rPr>
          <w:rFonts w:cs="Arial"/>
          <w:bCs/>
        </w:rPr>
        <w:t>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w:t>
      </w:r>
    </w:p>
    <w:p w14:paraId="3000C49A" w14:textId="73373F57" w:rsidR="00D31F73" w:rsidRDefault="00D31F73" w:rsidP="00D31F73">
      <w:pPr>
        <w:jc w:val="both"/>
        <w:rPr>
          <w:rFonts w:cs="Arial"/>
          <w:bCs/>
        </w:rPr>
      </w:pPr>
      <w:r w:rsidRPr="00EC66DF">
        <w:rPr>
          <w:rFonts w:cs="Arial"/>
          <w:bCs/>
        </w:rPr>
        <w:t>Haben Sie verlangt, dass die Dienstleistungen während der Widerrufsfrist beginnen soll, so haben Sie uns einen angemessenen Betrag zu zahlen, der dem Anteil der bis zu dem Zeitpunkt, zu dem Sie uns von der Ausübung des Widerrufsrechts hinsichtlich dieses Vertrags unterrichten, bereits erbrachten Dienstleistungen im Vergleich zum Gesamtumfang der im Vertrag vorgesehenen Dienstleistungen entspricht.</w:t>
      </w:r>
    </w:p>
    <w:p w14:paraId="2985EBC3" w14:textId="77777777" w:rsidR="00737C05" w:rsidRDefault="00737C05" w:rsidP="00D31F73">
      <w:pPr>
        <w:jc w:val="both"/>
        <w:rPr>
          <w:rFonts w:cs="Arial"/>
          <w:bCs/>
        </w:rPr>
      </w:pPr>
    </w:p>
    <w:p w14:paraId="4ABB4A87" w14:textId="77777777" w:rsidR="00737C05" w:rsidRPr="00EC66DF" w:rsidRDefault="00737C05" w:rsidP="00D31F73">
      <w:pPr>
        <w:jc w:val="both"/>
        <w:rPr>
          <w:rFonts w:cs="Arial"/>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737C05" w:rsidRPr="002C6D30" w14:paraId="1E5D6E38" w14:textId="77777777" w:rsidTr="00185454">
        <w:trPr>
          <w:trHeight w:val="623"/>
        </w:trPr>
        <w:tc>
          <w:tcPr>
            <w:tcW w:w="4395" w:type="dxa"/>
            <w:tcBorders>
              <w:top w:val="single" w:sz="4" w:space="0" w:color="auto"/>
              <w:bottom w:val="single" w:sz="4" w:space="0" w:color="auto"/>
            </w:tcBorders>
            <w:tcMar>
              <w:right w:w="227" w:type="dxa"/>
            </w:tcMar>
          </w:tcPr>
          <w:p w14:paraId="2F4D0693" w14:textId="77777777" w:rsidR="00737C05" w:rsidRPr="002C6D30" w:rsidRDefault="00737C05" w:rsidP="002C6C2F">
            <w:pPr>
              <w:spacing w:line="276" w:lineRule="auto"/>
              <w:rPr>
                <w:rFonts w:cs="Arial"/>
                <w:color w:val="000000"/>
              </w:rPr>
            </w:pPr>
            <w:r w:rsidRPr="002C6D30">
              <w:rPr>
                <w:rFonts w:cs="Arial"/>
                <w:color w:val="000000"/>
              </w:rPr>
              <w:t>Ort, Datum</w:t>
            </w:r>
          </w:p>
        </w:tc>
      </w:tr>
      <w:tr w:rsidR="00737C05" w:rsidRPr="002C6D30" w14:paraId="2F74B7B0" w14:textId="77777777" w:rsidTr="00185454">
        <w:tc>
          <w:tcPr>
            <w:tcW w:w="4395" w:type="dxa"/>
            <w:tcBorders>
              <w:top w:val="single" w:sz="4" w:space="0" w:color="auto"/>
            </w:tcBorders>
            <w:tcMar>
              <w:right w:w="227" w:type="dxa"/>
            </w:tcMar>
          </w:tcPr>
          <w:p w14:paraId="015A1DA2" w14:textId="77777777" w:rsidR="00737C05" w:rsidRPr="002C6D30" w:rsidRDefault="00737C05" w:rsidP="002C6C2F">
            <w:pPr>
              <w:spacing w:line="276" w:lineRule="auto"/>
              <w:rPr>
                <w:rFonts w:cs="Arial"/>
                <w:color w:val="000000"/>
              </w:rPr>
            </w:pPr>
            <w:r w:rsidRPr="002C6D30">
              <w:rPr>
                <w:rFonts w:cs="Arial"/>
                <w:color w:val="000000"/>
              </w:rPr>
              <w:t>Unterschrift</w:t>
            </w:r>
          </w:p>
        </w:tc>
      </w:tr>
      <w:tr w:rsidR="00185454" w:rsidRPr="001F5DDA" w14:paraId="7941D0D6" w14:textId="77777777" w:rsidTr="00185454">
        <w:tc>
          <w:tcPr>
            <w:tcW w:w="4395" w:type="dxa"/>
          </w:tcPr>
          <w:p w14:paraId="2BB7B707" w14:textId="6E4B8A57" w:rsidR="00185454" w:rsidRPr="002C6D30" w:rsidRDefault="00A169A9" w:rsidP="002C6C2F">
            <w:pPr>
              <w:spacing w:line="276" w:lineRule="auto"/>
              <w:rPr>
                <w:rFonts w:cs="Arial"/>
                <w:color w:val="000000"/>
              </w:rPr>
            </w:pPr>
            <w:r>
              <w:rPr>
                <w:rFonts w:cs="Arial"/>
                <w:color w:val="000000"/>
              </w:rPr>
              <w:t>Kunde</w:t>
            </w:r>
          </w:p>
        </w:tc>
      </w:tr>
    </w:tbl>
    <w:p w14:paraId="56360BCE" w14:textId="77777777" w:rsidR="004439C2" w:rsidRPr="001F5DDA" w:rsidRDefault="004439C2" w:rsidP="002C6D30">
      <w:pPr>
        <w:spacing w:line="276" w:lineRule="auto"/>
        <w:rPr>
          <w:rFonts w:cs="Arial"/>
          <w:color w:val="000000"/>
        </w:rPr>
      </w:pPr>
    </w:p>
    <w:sectPr w:rsidR="004439C2" w:rsidRPr="001F5DDA" w:rsidSect="00894FA4">
      <w:headerReference w:type="even" r:id="rId11"/>
      <w:headerReference w:type="default" r:id="rId12"/>
      <w:footerReference w:type="even" r:id="rId13"/>
      <w:footerReference w:type="default" r:id="rId14"/>
      <w:headerReference w:type="first" r:id="rId15"/>
      <w:footerReference w:type="first" r:id="rId16"/>
      <w:pgSz w:w="11906" w:h="16838"/>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02917" w14:textId="77777777" w:rsidR="008070F6" w:rsidRDefault="008070F6" w:rsidP="00F57FB5">
      <w:pPr>
        <w:spacing w:after="0" w:line="240" w:lineRule="auto"/>
      </w:pPr>
      <w:r>
        <w:separator/>
      </w:r>
    </w:p>
  </w:endnote>
  <w:endnote w:type="continuationSeparator" w:id="0">
    <w:p w14:paraId="10D18CCD" w14:textId="77777777" w:rsidR="008070F6" w:rsidRDefault="008070F6" w:rsidP="00F57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C6D1E" w14:textId="77777777" w:rsidR="00CF53E5" w:rsidRDefault="00CF53E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65895" w14:textId="77777777" w:rsidR="00894FA4" w:rsidRDefault="00894FA4" w:rsidP="00894FA4">
    <w:pPr>
      <w:spacing w:after="0"/>
      <w:rPr>
        <w:rFonts w:ascii="Arial" w:hAnsi="Arial" w:cs="Arial"/>
        <w:color w:val="242424"/>
        <w:sz w:val="16"/>
        <w:szCs w:val="16"/>
      </w:rPr>
    </w:pPr>
  </w:p>
  <w:p w14:paraId="1E3E4DD8" w14:textId="244741DC" w:rsidR="00894FA4" w:rsidRDefault="00894FA4" w:rsidP="00894FA4">
    <w:pPr>
      <w:spacing w:after="0"/>
      <w:rPr>
        <w:rFonts w:ascii="Arial" w:hAnsi="Arial" w:cs="Arial"/>
        <w:color w:val="242424"/>
        <w:sz w:val="16"/>
        <w:szCs w:val="16"/>
      </w:rPr>
    </w:pPr>
    <w:r>
      <w:rPr>
        <w:rFonts w:ascii="Arial" w:hAnsi="Arial" w:cs="Arial"/>
        <w:color w:val="242424"/>
        <w:sz w:val="16"/>
        <w:szCs w:val="16"/>
      </w:rPr>
      <w:t>Im Arbeitskreis Beratungsprozesse e. V. entwickeln die Berufsverbände AfW, BDVM, BVK und Verband der Fairsicherungsmakler sowie die Verbünde CHARTA Börse für Versicherungen und germanBroker.net gemeinsam Praxishilfen für den Vermittleralltag – </w:t>
    </w:r>
    <w:r>
      <w:rPr>
        <w:rFonts w:ascii="Arial" w:hAnsi="Arial" w:cs="Arial"/>
        <w:b/>
        <w:bCs/>
        <w:color w:val="242424"/>
        <w:sz w:val="16"/>
        <w:szCs w:val="16"/>
      </w:rPr>
      <w:t>gleichberechtigt und verbandsübergreifend</w:t>
    </w:r>
    <w:r>
      <w:rPr>
        <w:rFonts w:ascii="Arial" w:hAnsi="Arial" w:cs="Arial"/>
        <w:color w:val="242424"/>
        <w:sz w:val="16"/>
        <w:szCs w:val="16"/>
      </w:rPr>
      <w:t>.</w:t>
    </w:r>
  </w:p>
  <w:p w14:paraId="6D3C8B3E" w14:textId="5D1B56F1" w:rsidR="00894FA4" w:rsidRDefault="00894FA4" w:rsidP="00894FA4">
    <w:pPr>
      <w:spacing w:after="0"/>
      <w:jc w:val="right"/>
      <w:rPr>
        <w:rFonts w:ascii="Arial" w:hAnsi="Arial" w:cs="Arial"/>
        <w:color w:val="242424"/>
        <w:sz w:val="16"/>
        <w:szCs w:val="16"/>
      </w:rPr>
    </w:pPr>
    <w:r>
      <w:rPr>
        <w:rFonts w:ascii="Arial" w:hAnsi="Arial" w:cs="Arial"/>
        <w:color w:val="242424"/>
        <w:sz w:val="16"/>
        <w:szCs w:val="16"/>
      </w:rPr>
      <w:t>Stand 28.4.22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827DB" w14:textId="77777777" w:rsidR="00894FA4" w:rsidRDefault="00894FA4" w:rsidP="00894FA4">
    <w:pPr>
      <w:rPr>
        <w:rFonts w:ascii="Arial" w:hAnsi="Arial" w:cs="Arial"/>
        <w:color w:val="242424"/>
        <w:sz w:val="16"/>
        <w:szCs w:val="16"/>
      </w:rPr>
    </w:pPr>
  </w:p>
  <w:p w14:paraId="3D4DC7F0" w14:textId="77777777" w:rsidR="00894FA4" w:rsidRDefault="00894FA4" w:rsidP="00894FA4">
    <w:pPr>
      <w:rPr>
        <w:rFonts w:ascii="Arial" w:hAnsi="Arial" w:cs="Arial"/>
        <w:color w:val="242424"/>
        <w:sz w:val="16"/>
        <w:szCs w:val="16"/>
      </w:rPr>
    </w:pPr>
    <w:r>
      <w:rPr>
        <w:rFonts w:ascii="Arial" w:hAnsi="Arial" w:cs="Arial"/>
        <w:color w:val="242424"/>
        <w:sz w:val="16"/>
        <w:szCs w:val="16"/>
      </w:rPr>
      <w:t>Im Arbeitskreis Beratungsprozesse e. V. entwickeln die Berufsverbände AfW, BDVM, BVK und Verband der Fairsicherungsmakler sowie die Verbünde CHARTA Börse für Versicherungen und germanBroker.net gemeinsam Praxishilfen für den Vermittleralltag – </w:t>
    </w:r>
    <w:r>
      <w:rPr>
        <w:rFonts w:ascii="Arial" w:hAnsi="Arial" w:cs="Arial"/>
        <w:b/>
        <w:bCs/>
        <w:color w:val="242424"/>
        <w:sz w:val="16"/>
        <w:szCs w:val="16"/>
      </w:rPr>
      <w:t>gleichberechtigt und verbandsübergreifend</w:t>
    </w:r>
    <w:r>
      <w:rPr>
        <w:rFonts w:ascii="Arial" w:hAnsi="Arial" w:cs="Arial"/>
        <w:color w:val="242424"/>
        <w:sz w:val="16"/>
        <w:szCs w:val="16"/>
      </w:rPr>
      <w:t>.</w:t>
    </w:r>
  </w:p>
  <w:p w14:paraId="686AA08F" w14:textId="68A8B7AE" w:rsidR="00D63A6E" w:rsidRDefault="00B50DF1" w:rsidP="00D63A6E">
    <w:pPr>
      <w:pStyle w:val="Fuzeile"/>
      <w:jc w:val="right"/>
      <w:rPr>
        <w:sz w:val="16"/>
      </w:rPr>
    </w:pPr>
    <w:r>
      <w:rPr>
        <w:rFonts w:ascii="Arial" w:hAnsi="Arial" w:cs="Arial"/>
        <w:sz w:val="16"/>
      </w:rPr>
      <w:t>Vergütungsvereinbarung</w:t>
    </w:r>
    <w:r w:rsidR="00D63A6E">
      <w:rPr>
        <w:rFonts w:ascii="Arial" w:hAnsi="Arial" w:cs="Arial"/>
        <w:sz w:val="16"/>
      </w:rPr>
      <w:t xml:space="preserve">, Stand </w:t>
    </w:r>
    <w:r w:rsidR="008C4A47">
      <w:rPr>
        <w:rFonts w:ascii="Arial" w:hAnsi="Arial" w:cs="Arial"/>
        <w:sz w:val="16"/>
      </w:rPr>
      <w:t>28</w:t>
    </w:r>
    <w:r w:rsidR="00D63A6E">
      <w:rPr>
        <w:rFonts w:ascii="Arial" w:hAnsi="Arial" w:cs="Arial"/>
        <w:sz w:val="16"/>
      </w:rPr>
      <w:t>.</w:t>
    </w:r>
    <w:r w:rsidR="00781078">
      <w:rPr>
        <w:rFonts w:ascii="Arial" w:hAnsi="Arial" w:cs="Arial"/>
        <w:sz w:val="16"/>
      </w:rPr>
      <w:t>4</w:t>
    </w:r>
    <w:r w:rsidR="00D63A6E">
      <w:rPr>
        <w:rFonts w:ascii="Arial" w:hAnsi="Arial" w:cs="Arial"/>
        <w:sz w:val="16"/>
      </w:rPr>
      <w:t>.2</w:t>
    </w:r>
    <w:r>
      <w:rPr>
        <w:rFonts w:ascii="Arial" w:hAnsi="Arial" w:cs="Arial"/>
        <w:sz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6F1A3" w14:textId="77777777" w:rsidR="008070F6" w:rsidRDefault="008070F6" w:rsidP="00F57FB5">
      <w:pPr>
        <w:spacing w:after="0" w:line="240" w:lineRule="auto"/>
      </w:pPr>
      <w:r>
        <w:separator/>
      </w:r>
    </w:p>
  </w:footnote>
  <w:footnote w:type="continuationSeparator" w:id="0">
    <w:p w14:paraId="5874B5DA" w14:textId="77777777" w:rsidR="008070F6" w:rsidRDefault="008070F6" w:rsidP="00F57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F6640" w14:textId="77777777" w:rsidR="00CF53E5" w:rsidRDefault="00CF53E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5B6C9" w14:textId="5C99BE8A" w:rsidR="00894FA4" w:rsidRDefault="00CF53E5" w:rsidP="00894FA4">
    <w:pPr>
      <w:pStyle w:val="Kopfzeile"/>
      <w:jc w:val="right"/>
    </w:pPr>
    <w:r>
      <w:rPr>
        <w:noProof/>
      </w:rPr>
      <w:drawing>
        <wp:inline distT="0" distB="0" distL="0" distR="0" wp14:anchorId="112FADBF" wp14:editId="42887ABF">
          <wp:extent cx="1905000" cy="323661"/>
          <wp:effectExtent l="0" t="0" r="0" b="635"/>
          <wp:docPr id="98203365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033656" name=""/>
                  <pic:cNvPicPr/>
                </pic:nvPicPr>
                <pic:blipFill>
                  <a:blip r:embed="rId1">
                    <a:extLst>
                      <a:ext uri="{28A0092B-C50C-407E-A947-70E740481C1C}">
                        <a14:useLocalDpi xmlns:a14="http://schemas.microsoft.com/office/drawing/2010/main" val="0"/>
                      </a:ext>
                    </a:extLst>
                  </a:blip>
                  <a:stretch>
                    <a:fillRect/>
                  </a:stretch>
                </pic:blipFill>
                <pic:spPr>
                  <a:xfrm>
                    <a:off x="0" y="0"/>
                    <a:ext cx="1905000" cy="32366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B4A72" w14:textId="409FB84D" w:rsidR="00F57FB5" w:rsidRDefault="00894FA4" w:rsidP="00F57FB5">
    <w:pPr>
      <w:pStyle w:val="Kopfzeile"/>
      <w:jc w:val="right"/>
    </w:pPr>
    <w:r>
      <w:rPr>
        <w:noProof/>
      </w:rPr>
      <w:drawing>
        <wp:inline distT="0" distB="0" distL="0" distR="0" wp14:anchorId="4A6E3033" wp14:editId="003BE049">
          <wp:extent cx="2162175" cy="457200"/>
          <wp:effectExtent l="0" t="0" r="9525" b="0"/>
          <wp:docPr id="202363891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638910" name=""/>
                  <pic:cNvPicPr/>
                </pic:nvPicPr>
                <pic:blipFill>
                  <a:blip r:embed="rId1"/>
                  <a:stretch>
                    <a:fillRect/>
                  </a:stretch>
                </pic:blipFill>
                <pic:spPr>
                  <a:xfrm>
                    <a:off x="0" y="0"/>
                    <a:ext cx="2162175"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36A4D"/>
    <w:multiLevelType w:val="multilevel"/>
    <w:tmpl w:val="2CF07992"/>
    <w:styleLink w:val="Formatvorlage1"/>
    <w:lvl w:ilvl="0">
      <w:start w:val="1"/>
      <w:numFmt w:val="decimal"/>
      <w:pStyle w:val="Listenabsatz"/>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0256C58"/>
    <w:multiLevelType w:val="multilevel"/>
    <w:tmpl w:val="2CF07992"/>
    <w:numStyleLink w:val="Formatvorlage1"/>
  </w:abstractNum>
  <w:abstractNum w:abstractNumId="2" w15:restartNumberingAfterBreak="0">
    <w:nsid w:val="34F26BE9"/>
    <w:multiLevelType w:val="multilevel"/>
    <w:tmpl w:val="2CF07992"/>
    <w:numStyleLink w:val="Formatvorlage1"/>
  </w:abstractNum>
  <w:abstractNum w:abstractNumId="3" w15:restartNumberingAfterBreak="0">
    <w:nsid w:val="4ABF4FCF"/>
    <w:multiLevelType w:val="hybridMultilevel"/>
    <w:tmpl w:val="CB7A9828"/>
    <w:lvl w:ilvl="0" w:tplc="38E291CC">
      <w:start w:val="19"/>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104D5C"/>
    <w:multiLevelType w:val="hybridMultilevel"/>
    <w:tmpl w:val="01D0ECFE"/>
    <w:lvl w:ilvl="0" w:tplc="4C8E35EC">
      <w:start w:val="19"/>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CB05F8"/>
    <w:multiLevelType w:val="hybridMultilevel"/>
    <w:tmpl w:val="152A59F2"/>
    <w:lvl w:ilvl="0" w:tplc="508C9B8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5277F5"/>
    <w:multiLevelType w:val="hybridMultilevel"/>
    <w:tmpl w:val="DB7496D4"/>
    <w:lvl w:ilvl="0" w:tplc="B11AE9FA">
      <w:numFmt w:val="bullet"/>
      <w:lvlText w:val=""/>
      <w:lvlJc w:val="left"/>
      <w:pPr>
        <w:ind w:left="720" w:hanging="360"/>
      </w:pPr>
      <w:rPr>
        <w:rFonts w:ascii="Symbol" w:eastAsiaTheme="minorHAnsi" w:hAnsi="Symbol" w:cstheme="minorBidi" w:hint="default"/>
        <w:b/>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14447609">
    <w:abstractNumId w:val="4"/>
  </w:num>
  <w:num w:numId="2" w16cid:durableId="424109310">
    <w:abstractNumId w:val="3"/>
  </w:num>
  <w:num w:numId="3" w16cid:durableId="1199591178">
    <w:abstractNumId w:val="5"/>
  </w:num>
  <w:num w:numId="4" w16cid:durableId="528302557">
    <w:abstractNumId w:val="0"/>
  </w:num>
  <w:num w:numId="5" w16cid:durableId="1218935206">
    <w:abstractNumId w:val="1"/>
  </w:num>
  <w:num w:numId="6" w16cid:durableId="1723600414">
    <w:abstractNumId w:val="6"/>
  </w:num>
  <w:num w:numId="7" w16cid:durableId="739474779">
    <w:abstractNumId w:val="2"/>
    <w:lvlOverride w:ilvl="0">
      <w:lvl w:ilvl="0">
        <w:start w:val="1"/>
        <w:numFmt w:val="decimal"/>
        <w:pStyle w:val="Listenabsatz"/>
        <w:lvlText w:val="§ %1"/>
        <w:lvlJc w:val="left"/>
        <w:pPr>
          <w:ind w:left="360" w:hanging="360"/>
        </w:pPr>
        <w:rPr>
          <w:rFonts w:hint="default"/>
          <w:b/>
          <w:bCs/>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BAEF72F-C3AB-4521-89A5-8E1BD81B4C13}"/>
    <w:docVar w:name="dgnword-eventsink" w:val="2807679990096"/>
  </w:docVars>
  <w:rsids>
    <w:rsidRoot w:val="00961A93"/>
    <w:rsid w:val="00026225"/>
    <w:rsid w:val="00034897"/>
    <w:rsid w:val="000401F3"/>
    <w:rsid w:val="00046A0B"/>
    <w:rsid w:val="00047C6C"/>
    <w:rsid w:val="00051B5C"/>
    <w:rsid w:val="00067D8E"/>
    <w:rsid w:val="00076D07"/>
    <w:rsid w:val="00086BA5"/>
    <w:rsid w:val="000D086D"/>
    <w:rsid w:val="000D6B7F"/>
    <w:rsid w:val="000F0A2E"/>
    <w:rsid w:val="0011646B"/>
    <w:rsid w:val="00116930"/>
    <w:rsid w:val="00121650"/>
    <w:rsid w:val="00125AEC"/>
    <w:rsid w:val="00135257"/>
    <w:rsid w:val="00185454"/>
    <w:rsid w:val="001A10EE"/>
    <w:rsid w:val="001A63BF"/>
    <w:rsid w:val="001C7077"/>
    <w:rsid w:val="001E129F"/>
    <w:rsid w:val="00201164"/>
    <w:rsid w:val="00201803"/>
    <w:rsid w:val="00217C63"/>
    <w:rsid w:val="00224610"/>
    <w:rsid w:val="00247D27"/>
    <w:rsid w:val="002520B2"/>
    <w:rsid w:val="002551EA"/>
    <w:rsid w:val="00260B6C"/>
    <w:rsid w:val="00261815"/>
    <w:rsid w:val="00286F0C"/>
    <w:rsid w:val="002C118B"/>
    <w:rsid w:val="002C6D30"/>
    <w:rsid w:val="002E315E"/>
    <w:rsid w:val="00372F4D"/>
    <w:rsid w:val="00395B5F"/>
    <w:rsid w:val="003A3B08"/>
    <w:rsid w:val="003A5341"/>
    <w:rsid w:val="003B3014"/>
    <w:rsid w:val="003B3CC2"/>
    <w:rsid w:val="003B6026"/>
    <w:rsid w:val="003F0B90"/>
    <w:rsid w:val="004030CE"/>
    <w:rsid w:val="00405796"/>
    <w:rsid w:val="004157B0"/>
    <w:rsid w:val="00425159"/>
    <w:rsid w:val="004439C2"/>
    <w:rsid w:val="00461F97"/>
    <w:rsid w:val="00482884"/>
    <w:rsid w:val="00497D41"/>
    <w:rsid w:val="004B20A7"/>
    <w:rsid w:val="004B661D"/>
    <w:rsid w:val="004D40D1"/>
    <w:rsid w:val="004E533A"/>
    <w:rsid w:val="004F143B"/>
    <w:rsid w:val="00526406"/>
    <w:rsid w:val="0053774C"/>
    <w:rsid w:val="0055581E"/>
    <w:rsid w:val="00582BBA"/>
    <w:rsid w:val="00590E53"/>
    <w:rsid w:val="005D761D"/>
    <w:rsid w:val="005E09FE"/>
    <w:rsid w:val="005E2909"/>
    <w:rsid w:val="005F31B4"/>
    <w:rsid w:val="00602C8B"/>
    <w:rsid w:val="0064582C"/>
    <w:rsid w:val="006516F6"/>
    <w:rsid w:val="00663C0B"/>
    <w:rsid w:val="00677824"/>
    <w:rsid w:val="00685874"/>
    <w:rsid w:val="0068765F"/>
    <w:rsid w:val="006A0449"/>
    <w:rsid w:val="006D5E6E"/>
    <w:rsid w:val="006D6221"/>
    <w:rsid w:val="006E4658"/>
    <w:rsid w:val="006F11E5"/>
    <w:rsid w:val="00705F75"/>
    <w:rsid w:val="00715491"/>
    <w:rsid w:val="00737C05"/>
    <w:rsid w:val="00747210"/>
    <w:rsid w:val="00747E98"/>
    <w:rsid w:val="00781078"/>
    <w:rsid w:val="007812F2"/>
    <w:rsid w:val="0078189B"/>
    <w:rsid w:val="00795299"/>
    <w:rsid w:val="00795BAA"/>
    <w:rsid w:val="00796284"/>
    <w:rsid w:val="00797BAF"/>
    <w:rsid w:val="007B2523"/>
    <w:rsid w:val="007C1C3A"/>
    <w:rsid w:val="007C7D9E"/>
    <w:rsid w:val="007D43C1"/>
    <w:rsid w:val="008070F6"/>
    <w:rsid w:val="00821829"/>
    <w:rsid w:val="00824784"/>
    <w:rsid w:val="008279AA"/>
    <w:rsid w:val="00831AAD"/>
    <w:rsid w:val="008351C3"/>
    <w:rsid w:val="00866238"/>
    <w:rsid w:val="00867229"/>
    <w:rsid w:val="0086762B"/>
    <w:rsid w:val="00882C71"/>
    <w:rsid w:val="00894FA4"/>
    <w:rsid w:val="008B5D8A"/>
    <w:rsid w:val="008C4A47"/>
    <w:rsid w:val="008F358E"/>
    <w:rsid w:val="009216D9"/>
    <w:rsid w:val="00931232"/>
    <w:rsid w:val="009618A1"/>
    <w:rsid w:val="00961A93"/>
    <w:rsid w:val="00966CB9"/>
    <w:rsid w:val="00980372"/>
    <w:rsid w:val="00994831"/>
    <w:rsid w:val="009A249C"/>
    <w:rsid w:val="009A5E45"/>
    <w:rsid w:val="009B1E85"/>
    <w:rsid w:val="009B3AC2"/>
    <w:rsid w:val="009C04E4"/>
    <w:rsid w:val="009F2549"/>
    <w:rsid w:val="009F3CD4"/>
    <w:rsid w:val="009F78AD"/>
    <w:rsid w:val="00A0310E"/>
    <w:rsid w:val="00A065AB"/>
    <w:rsid w:val="00A169A9"/>
    <w:rsid w:val="00A25093"/>
    <w:rsid w:val="00A26FDC"/>
    <w:rsid w:val="00A3543C"/>
    <w:rsid w:val="00A55522"/>
    <w:rsid w:val="00A61E77"/>
    <w:rsid w:val="00A6694D"/>
    <w:rsid w:val="00A71AEE"/>
    <w:rsid w:val="00A94A5C"/>
    <w:rsid w:val="00AA6D2E"/>
    <w:rsid w:val="00AC050B"/>
    <w:rsid w:val="00AC1B08"/>
    <w:rsid w:val="00B10014"/>
    <w:rsid w:val="00B22233"/>
    <w:rsid w:val="00B50DF1"/>
    <w:rsid w:val="00B70D0B"/>
    <w:rsid w:val="00B73CB8"/>
    <w:rsid w:val="00B74FDD"/>
    <w:rsid w:val="00B93168"/>
    <w:rsid w:val="00BC4C29"/>
    <w:rsid w:val="00BD6DB5"/>
    <w:rsid w:val="00BF68CA"/>
    <w:rsid w:val="00C00D17"/>
    <w:rsid w:val="00C15880"/>
    <w:rsid w:val="00C41EC4"/>
    <w:rsid w:val="00C46AAB"/>
    <w:rsid w:val="00C51082"/>
    <w:rsid w:val="00C771E6"/>
    <w:rsid w:val="00CB256C"/>
    <w:rsid w:val="00CC27CA"/>
    <w:rsid w:val="00CF53E5"/>
    <w:rsid w:val="00D0283B"/>
    <w:rsid w:val="00D07385"/>
    <w:rsid w:val="00D13737"/>
    <w:rsid w:val="00D307AA"/>
    <w:rsid w:val="00D31F73"/>
    <w:rsid w:val="00D55360"/>
    <w:rsid w:val="00D6342E"/>
    <w:rsid w:val="00D63A6E"/>
    <w:rsid w:val="00D67CF8"/>
    <w:rsid w:val="00D874D9"/>
    <w:rsid w:val="00D96BFA"/>
    <w:rsid w:val="00DD2FDD"/>
    <w:rsid w:val="00DE49C9"/>
    <w:rsid w:val="00DF7E6D"/>
    <w:rsid w:val="00E02BE1"/>
    <w:rsid w:val="00E052EF"/>
    <w:rsid w:val="00E115A2"/>
    <w:rsid w:val="00E122CA"/>
    <w:rsid w:val="00E17C81"/>
    <w:rsid w:val="00E36042"/>
    <w:rsid w:val="00E43090"/>
    <w:rsid w:val="00EB506B"/>
    <w:rsid w:val="00EC66DF"/>
    <w:rsid w:val="00ED491F"/>
    <w:rsid w:val="00EF5D8B"/>
    <w:rsid w:val="00EF6158"/>
    <w:rsid w:val="00F129F7"/>
    <w:rsid w:val="00F147EA"/>
    <w:rsid w:val="00F460B2"/>
    <w:rsid w:val="00F57FB5"/>
    <w:rsid w:val="00F722A0"/>
    <w:rsid w:val="00F847CA"/>
    <w:rsid w:val="00F9248F"/>
    <w:rsid w:val="00F95EED"/>
    <w:rsid w:val="00F9757D"/>
    <w:rsid w:val="00FD10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014A1"/>
  <w15:chartTrackingRefBased/>
  <w15:docId w15:val="{BB95E8E7-BA40-443B-8DCA-8B498BE4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050B"/>
    <w:rPr>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B22233"/>
    <w:rPr>
      <w:sz w:val="16"/>
      <w:szCs w:val="16"/>
    </w:rPr>
  </w:style>
  <w:style w:type="paragraph" w:styleId="Kommentartext">
    <w:name w:val="annotation text"/>
    <w:basedOn w:val="Standard"/>
    <w:link w:val="KommentartextZchn"/>
    <w:uiPriority w:val="99"/>
    <w:unhideWhenUsed/>
    <w:rsid w:val="00B22233"/>
    <w:pPr>
      <w:spacing w:line="240" w:lineRule="auto"/>
    </w:pPr>
    <w:rPr>
      <w:szCs w:val="20"/>
    </w:rPr>
  </w:style>
  <w:style w:type="character" w:customStyle="1" w:styleId="KommentartextZchn">
    <w:name w:val="Kommentartext Zchn"/>
    <w:basedOn w:val="Absatz-Standardschriftart"/>
    <w:link w:val="Kommentartext"/>
    <w:uiPriority w:val="99"/>
    <w:rsid w:val="00B22233"/>
    <w:rPr>
      <w:sz w:val="20"/>
      <w:szCs w:val="20"/>
    </w:rPr>
  </w:style>
  <w:style w:type="paragraph" w:styleId="Kommentarthema">
    <w:name w:val="annotation subject"/>
    <w:basedOn w:val="Kommentartext"/>
    <w:next w:val="Kommentartext"/>
    <w:link w:val="KommentarthemaZchn"/>
    <w:uiPriority w:val="99"/>
    <w:semiHidden/>
    <w:unhideWhenUsed/>
    <w:rsid w:val="00B22233"/>
    <w:rPr>
      <w:b/>
      <w:bCs/>
    </w:rPr>
  </w:style>
  <w:style w:type="character" w:customStyle="1" w:styleId="KommentarthemaZchn">
    <w:name w:val="Kommentarthema Zchn"/>
    <w:basedOn w:val="KommentartextZchn"/>
    <w:link w:val="Kommentarthema"/>
    <w:uiPriority w:val="99"/>
    <w:semiHidden/>
    <w:rsid w:val="00B22233"/>
    <w:rPr>
      <w:b/>
      <w:bCs/>
      <w:sz w:val="20"/>
      <w:szCs w:val="20"/>
    </w:rPr>
  </w:style>
  <w:style w:type="paragraph" w:styleId="Sprechblasentext">
    <w:name w:val="Balloon Text"/>
    <w:basedOn w:val="Standard"/>
    <w:link w:val="SprechblasentextZchn"/>
    <w:uiPriority w:val="99"/>
    <w:semiHidden/>
    <w:unhideWhenUsed/>
    <w:rsid w:val="00B2223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22233"/>
    <w:rPr>
      <w:rFonts w:ascii="Segoe UI" w:hAnsi="Segoe UI" w:cs="Segoe UI"/>
      <w:sz w:val="18"/>
      <w:szCs w:val="18"/>
    </w:rPr>
  </w:style>
  <w:style w:type="paragraph" w:styleId="Listenabsatz">
    <w:name w:val="List Paragraph"/>
    <w:basedOn w:val="Standard"/>
    <w:uiPriority w:val="34"/>
    <w:qFormat/>
    <w:rsid w:val="007812F2"/>
    <w:pPr>
      <w:keepNext/>
      <w:numPr>
        <w:numId w:val="7"/>
      </w:numPr>
      <w:pBdr>
        <w:top w:val="nil"/>
        <w:left w:val="nil"/>
        <w:bottom w:val="nil"/>
        <w:right w:val="nil"/>
        <w:between w:val="nil"/>
      </w:pBdr>
      <w:tabs>
        <w:tab w:val="left" w:pos="567"/>
      </w:tabs>
      <w:spacing w:after="120"/>
      <w:ind w:left="357" w:hanging="357"/>
      <w:contextualSpacing/>
    </w:pPr>
    <w:rPr>
      <w:rFonts w:eastAsia="Arial" w:cs="Arial"/>
      <w:b/>
      <w:color w:val="000000"/>
    </w:rPr>
  </w:style>
  <w:style w:type="numbering" w:customStyle="1" w:styleId="Formatvorlage1">
    <w:name w:val="Formatvorlage1"/>
    <w:uiPriority w:val="99"/>
    <w:rsid w:val="00BD6DB5"/>
    <w:pPr>
      <w:numPr>
        <w:numId w:val="4"/>
      </w:numPr>
    </w:pPr>
  </w:style>
  <w:style w:type="character" w:customStyle="1" w:styleId="fontstyle01">
    <w:name w:val="fontstyle01"/>
    <w:basedOn w:val="Absatz-Standardschriftart"/>
    <w:rsid w:val="001A63BF"/>
    <w:rPr>
      <w:rFonts w:ascii="Calibri-Bold" w:hAnsi="Calibri-Bold" w:hint="default"/>
      <w:b/>
      <w:bCs/>
      <w:i w:val="0"/>
      <w:iCs w:val="0"/>
      <w:color w:val="000000"/>
      <w:sz w:val="22"/>
      <w:szCs w:val="22"/>
    </w:rPr>
  </w:style>
  <w:style w:type="character" w:customStyle="1" w:styleId="fontstyle21">
    <w:name w:val="fontstyle21"/>
    <w:basedOn w:val="Absatz-Standardschriftart"/>
    <w:rsid w:val="001A63BF"/>
    <w:rPr>
      <w:rFonts w:ascii="Calibri" w:hAnsi="Calibri" w:hint="default"/>
      <w:b w:val="0"/>
      <w:bCs w:val="0"/>
      <w:i w:val="0"/>
      <w:iCs w:val="0"/>
      <w:color w:val="000000"/>
      <w:sz w:val="22"/>
      <w:szCs w:val="22"/>
    </w:rPr>
  </w:style>
  <w:style w:type="table" w:styleId="Tabellenraster">
    <w:name w:val="Table Grid"/>
    <w:basedOn w:val="NormaleTabelle"/>
    <w:uiPriority w:val="39"/>
    <w:rsid w:val="002C6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425159"/>
    <w:pPr>
      <w:spacing w:after="240" w:line="240" w:lineRule="auto"/>
      <w:contextualSpacing/>
    </w:pPr>
    <w:rPr>
      <w:rFonts w:asciiTheme="majorHAnsi" w:eastAsiaTheme="majorEastAsia" w:hAnsiTheme="majorHAnsi" w:cstheme="majorBidi"/>
      <w:b/>
      <w:bCs/>
      <w:spacing w:val="-10"/>
      <w:kern w:val="28"/>
      <w:sz w:val="32"/>
      <w:szCs w:val="32"/>
    </w:rPr>
  </w:style>
  <w:style w:type="character" w:customStyle="1" w:styleId="TitelZchn">
    <w:name w:val="Titel Zchn"/>
    <w:basedOn w:val="Absatz-Standardschriftart"/>
    <w:link w:val="Titel"/>
    <w:uiPriority w:val="10"/>
    <w:rsid w:val="00425159"/>
    <w:rPr>
      <w:rFonts w:asciiTheme="majorHAnsi" w:eastAsiaTheme="majorEastAsia" w:hAnsiTheme="majorHAnsi" w:cstheme="majorBidi"/>
      <w:b/>
      <w:bCs/>
      <w:spacing w:val="-10"/>
      <w:kern w:val="28"/>
      <w:sz w:val="32"/>
      <w:szCs w:val="32"/>
    </w:rPr>
  </w:style>
  <w:style w:type="paragraph" w:styleId="berarbeitung">
    <w:name w:val="Revision"/>
    <w:hidden/>
    <w:uiPriority w:val="99"/>
    <w:semiHidden/>
    <w:rsid w:val="00F9248F"/>
    <w:pPr>
      <w:spacing w:after="0" w:line="240" w:lineRule="auto"/>
    </w:pPr>
    <w:rPr>
      <w:sz w:val="20"/>
    </w:rPr>
  </w:style>
  <w:style w:type="paragraph" w:styleId="Kopfzeile">
    <w:name w:val="header"/>
    <w:basedOn w:val="Standard"/>
    <w:link w:val="KopfzeileZchn"/>
    <w:uiPriority w:val="99"/>
    <w:unhideWhenUsed/>
    <w:rsid w:val="00F57FB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57FB5"/>
    <w:rPr>
      <w:sz w:val="20"/>
    </w:rPr>
  </w:style>
  <w:style w:type="paragraph" w:styleId="Fuzeile">
    <w:name w:val="footer"/>
    <w:basedOn w:val="Standard"/>
    <w:link w:val="FuzeileZchn"/>
    <w:unhideWhenUsed/>
    <w:rsid w:val="00F57FB5"/>
    <w:pPr>
      <w:tabs>
        <w:tab w:val="center" w:pos="4536"/>
        <w:tab w:val="right" w:pos="9072"/>
      </w:tabs>
      <w:spacing w:after="0" w:line="240" w:lineRule="auto"/>
    </w:pPr>
  </w:style>
  <w:style w:type="character" w:customStyle="1" w:styleId="FuzeileZchn">
    <w:name w:val="Fußzeile Zchn"/>
    <w:basedOn w:val="Absatz-Standardschriftart"/>
    <w:link w:val="Fuzeile"/>
    <w:rsid w:val="00F57FB5"/>
    <w:rPr>
      <w:sz w:val="20"/>
    </w:rPr>
  </w:style>
  <w:style w:type="character" w:styleId="Hyperlink">
    <w:name w:val="Hyperlink"/>
    <w:uiPriority w:val="99"/>
    <w:unhideWhenUsed/>
    <w:rsid w:val="00D63A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408968">
      <w:bodyDiv w:val="1"/>
      <w:marLeft w:val="0"/>
      <w:marRight w:val="0"/>
      <w:marTop w:val="0"/>
      <w:marBottom w:val="0"/>
      <w:divBdr>
        <w:top w:val="none" w:sz="0" w:space="0" w:color="auto"/>
        <w:left w:val="none" w:sz="0" w:space="0" w:color="auto"/>
        <w:bottom w:val="none" w:sz="0" w:space="0" w:color="auto"/>
        <w:right w:val="none" w:sz="0" w:space="0" w:color="auto"/>
      </w:divBdr>
    </w:div>
    <w:div w:id="167610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CHICAGO.XSL" StyleName="Chicago" Version="15"/>
</file>

<file path=customXml/item3.xml><?xml version="1.0" encoding="utf-8"?>
<ct:contentTypeSchema xmlns:ct="http://schemas.microsoft.com/office/2006/metadata/contentType" xmlns:ma="http://schemas.microsoft.com/office/2006/metadata/properties/metaAttributes" ct:_="" ma:_="" ma:contentTypeName="Dokument" ma:contentTypeID="0x0101000AA5CC925E3E4149875B54AAE373D542" ma:contentTypeVersion="2" ma:contentTypeDescription="Ein neues Dokument erstellen." ma:contentTypeScope="" ma:versionID="c60d94373d1c97be22c17b51cdbb4159">
  <xsd:schema xmlns:xsd="http://www.w3.org/2001/XMLSchema" xmlns:xs="http://www.w3.org/2001/XMLSchema" xmlns:p="http://schemas.microsoft.com/office/2006/metadata/properties" xmlns:ns2="baf21b96-96fd-4986-a683-223e3e5bfda3" targetNamespace="http://schemas.microsoft.com/office/2006/metadata/properties" ma:root="true" ma:fieldsID="f9d9adea5779f6fe0a4d28546ed445be" ns2:_="">
    <xsd:import namespace="baf21b96-96fd-4986-a683-223e3e5bfda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21b96-96fd-4986-a683-223e3e5bf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DCDDE5-CB61-4563-8C15-6196A6812C27}">
  <ds:schemaRefs>
    <ds:schemaRef ds:uri="http://schemas.microsoft.com/sharepoint/v3/contenttype/forms"/>
  </ds:schemaRefs>
</ds:datastoreItem>
</file>

<file path=customXml/itemProps2.xml><?xml version="1.0" encoding="utf-8"?>
<ds:datastoreItem xmlns:ds="http://schemas.openxmlformats.org/officeDocument/2006/customXml" ds:itemID="{F47C6524-CA60-4397-B011-9FEA7927A223}">
  <ds:schemaRefs>
    <ds:schemaRef ds:uri="http://schemas.openxmlformats.org/officeDocument/2006/bibliography"/>
  </ds:schemaRefs>
</ds:datastoreItem>
</file>

<file path=customXml/itemProps3.xml><?xml version="1.0" encoding="utf-8"?>
<ds:datastoreItem xmlns:ds="http://schemas.openxmlformats.org/officeDocument/2006/customXml" ds:itemID="{707D96B7-A926-44FD-A275-FD9E60EB3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21b96-96fd-4986-a683-223e3e5bf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E90336-7BD2-4F34-8C81-890EA86AB4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1607</Words>
  <Characters>10131</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Salzburg</dc:creator>
  <cp:keywords/>
  <dc:description/>
  <cp:lastModifiedBy>Michael Franke</cp:lastModifiedBy>
  <cp:revision>4</cp:revision>
  <dcterms:created xsi:type="dcterms:W3CDTF">2024-06-17T13:19:00Z</dcterms:created>
  <dcterms:modified xsi:type="dcterms:W3CDTF">2024-10-25T13:13:00Z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0x0101000AA5CC925E3E4149875B54AAE373D542</vt:lpwstr>
  </property>
</Properties>
</file>